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6B08" w:rsidRPr="002775A6" w:rsidRDefault="00D66B08" w:rsidP="007E3E2A">
      <w:pPr>
        <w:ind w:left="5670" w:right="-1"/>
      </w:pPr>
      <w:r w:rsidRPr="002775A6">
        <w:t>Додаток №1</w:t>
      </w:r>
    </w:p>
    <w:p w:rsidR="00D66B08" w:rsidRPr="002775A6" w:rsidRDefault="00D66B08" w:rsidP="007E3E2A">
      <w:pPr>
        <w:ind w:left="5670" w:right="-1"/>
      </w:pPr>
      <w:r w:rsidRPr="002775A6">
        <w:t>до реєстраційного посвідчення</w:t>
      </w:r>
    </w:p>
    <w:p w:rsidR="00D66B08" w:rsidRPr="002775A6" w:rsidRDefault="00D66B08" w:rsidP="007E3E2A">
      <w:pPr>
        <w:ind w:left="5670" w:right="-1"/>
      </w:pPr>
      <w:r w:rsidRPr="002775A6">
        <w:t>№</w:t>
      </w:r>
    </w:p>
    <w:p w:rsidR="00D66B08" w:rsidRPr="002775A6" w:rsidRDefault="00D66B08" w:rsidP="007E3E2A">
      <w:pPr>
        <w:ind w:left="5670" w:right="-1"/>
      </w:pPr>
      <w:r w:rsidRPr="002775A6">
        <w:t>від</w:t>
      </w:r>
    </w:p>
    <w:p w:rsidR="00D66B08" w:rsidRPr="002775A6" w:rsidRDefault="00D66B08" w:rsidP="007E3E2A">
      <w:pPr>
        <w:ind w:right="-1"/>
        <w:jc w:val="center"/>
        <w:rPr>
          <w:b/>
        </w:rPr>
      </w:pPr>
    </w:p>
    <w:p w:rsidR="00D66B08" w:rsidRPr="002775A6" w:rsidRDefault="00D66B08" w:rsidP="007E3E2A">
      <w:pPr>
        <w:ind w:right="-1"/>
        <w:jc w:val="center"/>
        <w:rPr>
          <w:b/>
        </w:rPr>
      </w:pPr>
      <w:r w:rsidRPr="002775A6">
        <w:rPr>
          <w:b/>
        </w:rPr>
        <w:t>Коротка характеристика препарату</w:t>
      </w:r>
    </w:p>
    <w:p w:rsidR="00D66B08" w:rsidRPr="002775A6" w:rsidRDefault="00D66B08" w:rsidP="007E3E2A">
      <w:pPr>
        <w:ind w:right="-1"/>
        <w:jc w:val="both"/>
        <w:rPr>
          <w:b/>
        </w:rPr>
      </w:pPr>
      <w:r w:rsidRPr="002775A6">
        <w:rPr>
          <w:b/>
        </w:rPr>
        <w:t>1.</w:t>
      </w:r>
      <w:r w:rsidRPr="002775A6">
        <w:t xml:space="preserve"> </w:t>
      </w:r>
      <w:r w:rsidRPr="002775A6">
        <w:rPr>
          <w:b/>
        </w:rPr>
        <w:t>Назва ветеринарного препарату</w:t>
      </w:r>
    </w:p>
    <w:p w:rsidR="00DA3D81" w:rsidRPr="002775A6" w:rsidRDefault="00DA3D81" w:rsidP="004B44F2">
      <w:pPr>
        <w:jc w:val="both"/>
      </w:pPr>
      <w:r w:rsidRPr="002775A6">
        <w:t>PRIMUN SALMONELLA T</w:t>
      </w:r>
      <w:r w:rsidR="005C72E0" w:rsidRPr="002775A6">
        <w:t xml:space="preserve"> - </w:t>
      </w:r>
      <w:proofErr w:type="spellStart"/>
      <w:r w:rsidR="005C72E0" w:rsidRPr="002775A6">
        <w:t>л</w:t>
      </w:r>
      <w:r w:rsidRPr="002775A6">
        <w:t>іофілізат</w:t>
      </w:r>
      <w:proofErr w:type="spellEnd"/>
      <w:r w:rsidRPr="002775A6">
        <w:t xml:space="preserve"> для використання з питною водою для курчат</w:t>
      </w:r>
    </w:p>
    <w:p w:rsidR="00D66B08" w:rsidRPr="002775A6" w:rsidRDefault="00D66B08" w:rsidP="007E3E2A">
      <w:pPr>
        <w:ind w:right="-1"/>
        <w:jc w:val="both"/>
      </w:pPr>
      <w:r w:rsidRPr="002775A6">
        <w:rPr>
          <w:b/>
        </w:rPr>
        <w:t>2.</w:t>
      </w:r>
      <w:r w:rsidRPr="002775A6">
        <w:t xml:space="preserve"> </w:t>
      </w:r>
      <w:r w:rsidRPr="002775A6">
        <w:rPr>
          <w:b/>
        </w:rPr>
        <w:t>Якісний і кількісний склад</w:t>
      </w:r>
    </w:p>
    <w:p w:rsidR="00D66B08" w:rsidRPr="002775A6" w:rsidRDefault="00D66B08" w:rsidP="007E3E2A">
      <w:pPr>
        <w:ind w:right="-1"/>
        <w:jc w:val="both"/>
        <w:rPr>
          <w:i/>
        </w:rPr>
      </w:pPr>
      <w:r w:rsidRPr="002775A6">
        <w:rPr>
          <w:i/>
        </w:rPr>
        <w:t>Кожна доза вакцини</w:t>
      </w:r>
      <w:r w:rsidR="00DA3D81" w:rsidRPr="002775A6">
        <w:rPr>
          <w:i/>
        </w:rPr>
        <w:t xml:space="preserve"> </w:t>
      </w:r>
      <w:r w:rsidRPr="002775A6">
        <w:rPr>
          <w:i/>
        </w:rPr>
        <w:t>містить:</w:t>
      </w:r>
    </w:p>
    <w:p w:rsidR="00DA3D81" w:rsidRPr="002775A6" w:rsidRDefault="00DA3D81" w:rsidP="007E3E2A">
      <w:pPr>
        <w:pStyle w:val="1"/>
        <w:ind w:left="0" w:right="-1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75A6">
        <w:rPr>
          <w:rFonts w:ascii="Times New Roman" w:hAnsi="Times New Roman" w:cs="Times New Roman"/>
          <w:w w:val="105"/>
          <w:sz w:val="24"/>
          <w:szCs w:val="24"/>
          <w:lang w:val="uk-UA"/>
        </w:rPr>
        <w:t>Діюча речовина:</w:t>
      </w:r>
    </w:p>
    <w:p w:rsidR="00DA3D81" w:rsidRPr="002775A6" w:rsidRDefault="00DA3D81" w:rsidP="007E3E2A">
      <w:pPr>
        <w:ind w:right="-1"/>
        <w:jc w:val="both"/>
      </w:pPr>
      <w:r w:rsidRPr="002775A6">
        <w:rPr>
          <w:w w:val="105"/>
        </w:rPr>
        <w:t xml:space="preserve">Живий, </w:t>
      </w:r>
      <w:proofErr w:type="spellStart"/>
      <w:r w:rsidRPr="002775A6">
        <w:rPr>
          <w:w w:val="105"/>
        </w:rPr>
        <w:t>атенуйований</w:t>
      </w:r>
      <w:proofErr w:type="spellEnd"/>
      <w:r w:rsidRPr="002775A6">
        <w:rPr>
          <w:w w:val="105"/>
        </w:rPr>
        <w:t xml:space="preserve"> штам </w:t>
      </w:r>
      <w:proofErr w:type="spellStart"/>
      <w:r w:rsidRPr="002775A6">
        <w:rPr>
          <w:i/>
          <w:w w:val="105"/>
        </w:rPr>
        <w:t>Salmonella</w:t>
      </w:r>
      <w:proofErr w:type="spellEnd"/>
      <w:r w:rsidRPr="002775A6">
        <w:rPr>
          <w:i/>
          <w:w w:val="105"/>
        </w:rPr>
        <w:t xml:space="preserve"> </w:t>
      </w:r>
      <w:proofErr w:type="spellStart"/>
      <w:r w:rsidRPr="002775A6">
        <w:rPr>
          <w:i/>
          <w:w w:val="105"/>
        </w:rPr>
        <w:t>enterica</w:t>
      </w:r>
      <w:proofErr w:type="spellEnd"/>
      <w:r w:rsidRPr="002775A6">
        <w:rPr>
          <w:i/>
          <w:w w:val="105"/>
        </w:rPr>
        <w:t xml:space="preserve"> підвид</w:t>
      </w:r>
      <w:r w:rsidRPr="002775A6">
        <w:rPr>
          <w:w w:val="105"/>
        </w:rPr>
        <w:t xml:space="preserve">. </w:t>
      </w:r>
      <w:proofErr w:type="spellStart"/>
      <w:r w:rsidRPr="002775A6">
        <w:rPr>
          <w:b/>
          <w:i/>
          <w:w w:val="105"/>
        </w:rPr>
        <w:t>enterica</w:t>
      </w:r>
      <w:proofErr w:type="spellEnd"/>
      <w:r w:rsidRPr="002775A6">
        <w:rPr>
          <w:b/>
          <w:i/>
          <w:w w:val="105"/>
        </w:rPr>
        <w:t xml:space="preserve"> </w:t>
      </w:r>
      <w:proofErr w:type="spellStart"/>
      <w:r w:rsidRPr="002775A6">
        <w:rPr>
          <w:w w:val="105"/>
        </w:rPr>
        <w:t>серовар</w:t>
      </w:r>
      <w:proofErr w:type="spellEnd"/>
      <w:r w:rsidRPr="002775A6">
        <w:rPr>
          <w:w w:val="105"/>
        </w:rPr>
        <w:t xml:space="preserve"> </w:t>
      </w:r>
      <w:proofErr w:type="spellStart"/>
      <w:r w:rsidRPr="002775A6">
        <w:rPr>
          <w:w w:val="105"/>
        </w:rPr>
        <w:t>Typhimurium</w:t>
      </w:r>
      <w:proofErr w:type="spellEnd"/>
      <w:r w:rsidRPr="002775A6">
        <w:rPr>
          <w:w w:val="105"/>
        </w:rPr>
        <w:t xml:space="preserve"> </w:t>
      </w:r>
      <w:proofErr w:type="spellStart"/>
      <w:r w:rsidRPr="002775A6">
        <w:rPr>
          <w:w w:val="105"/>
        </w:rPr>
        <w:t>bacteria</w:t>
      </w:r>
      <w:proofErr w:type="spellEnd"/>
      <w:r w:rsidRPr="002775A6">
        <w:rPr>
          <w:w w:val="105"/>
        </w:rPr>
        <w:t xml:space="preserve">, штам ST CAL 16 </w:t>
      </w:r>
      <w:proofErr w:type="spellStart"/>
      <w:r w:rsidRPr="002775A6">
        <w:rPr>
          <w:w w:val="105"/>
        </w:rPr>
        <w:t>Str</w:t>
      </w:r>
      <w:proofErr w:type="spellEnd"/>
      <w:r w:rsidRPr="002775A6">
        <w:rPr>
          <w:w w:val="105"/>
          <w:vertAlign w:val="superscript"/>
        </w:rPr>
        <w:t>+</w:t>
      </w:r>
      <w:r w:rsidRPr="002775A6">
        <w:rPr>
          <w:w w:val="105"/>
        </w:rPr>
        <w:t>/</w:t>
      </w:r>
      <w:proofErr w:type="spellStart"/>
      <w:r w:rsidRPr="002775A6">
        <w:rPr>
          <w:w w:val="105"/>
        </w:rPr>
        <w:t>Rif</w:t>
      </w:r>
      <w:proofErr w:type="spellEnd"/>
      <w:r w:rsidRPr="002775A6">
        <w:rPr>
          <w:w w:val="105"/>
          <w:vertAlign w:val="superscript"/>
        </w:rPr>
        <w:t>+</w:t>
      </w:r>
      <w:r w:rsidRPr="002775A6">
        <w:rPr>
          <w:w w:val="105"/>
        </w:rPr>
        <w:t>/Enr</w:t>
      </w:r>
      <w:r w:rsidRPr="002775A6">
        <w:rPr>
          <w:w w:val="105"/>
          <w:vertAlign w:val="superscript"/>
        </w:rPr>
        <w:t>-</w:t>
      </w:r>
      <w:r w:rsidRPr="002775A6">
        <w:rPr>
          <w:w w:val="105"/>
        </w:rPr>
        <w:t>,1-6 x 10</w:t>
      </w:r>
      <w:r w:rsidRPr="002775A6">
        <w:rPr>
          <w:w w:val="105"/>
          <w:vertAlign w:val="superscript"/>
        </w:rPr>
        <w:t>8</w:t>
      </w:r>
      <w:r w:rsidRPr="002775A6">
        <w:rPr>
          <w:w w:val="105"/>
        </w:rPr>
        <w:t xml:space="preserve"> КУО*</w:t>
      </w:r>
    </w:p>
    <w:p w:rsidR="00DA3D81" w:rsidRPr="002775A6" w:rsidRDefault="00DA3D81" w:rsidP="007E3E2A">
      <w:pPr>
        <w:pStyle w:val="ac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75A6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*КУО: </w:t>
      </w:r>
      <w:proofErr w:type="spellStart"/>
      <w:r w:rsidRPr="002775A6">
        <w:rPr>
          <w:rFonts w:ascii="Times New Roman" w:hAnsi="Times New Roman" w:cs="Times New Roman"/>
          <w:w w:val="105"/>
          <w:sz w:val="24"/>
          <w:szCs w:val="24"/>
          <w:lang w:val="uk-UA"/>
        </w:rPr>
        <w:t>Колоніє</w:t>
      </w:r>
      <w:r w:rsidR="00437B5C">
        <w:rPr>
          <w:rFonts w:ascii="Times New Roman" w:hAnsi="Times New Roman" w:cs="Times New Roman"/>
          <w:w w:val="105"/>
          <w:sz w:val="24"/>
          <w:szCs w:val="24"/>
          <w:lang w:val="uk-UA"/>
        </w:rPr>
        <w:t>у</w:t>
      </w:r>
      <w:r w:rsidRPr="002775A6">
        <w:rPr>
          <w:rFonts w:ascii="Times New Roman" w:hAnsi="Times New Roman" w:cs="Times New Roman"/>
          <w:w w:val="105"/>
          <w:sz w:val="24"/>
          <w:szCs w:val="24"/>
          <w:lang w:val="uk-UA"/>
        </w:rPr>
        <w:t>творюючі</w:t>
      </w:r>
      <w:proofErr w:type="spellEnd"/>
      <w:r w:rsidRPr="002775A6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Одиниці.</w:t>
      </w:r>
    </w:p>
    <w:p w:rsidR="00DA3D81" w:rsidRPr="002775A6" w:rsidRDefault="00DA3D81" w:rsidP="007E3E2A">
      <w:pPr>
        <w:pStyle w:val="1"/>
        <w:ind w:left="0" w:right="-1" w:firstLine="0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2775A6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Допоміжні речовини: </w:t>
      </w:r>
      <w:r w:rsidRPr="002775A6">
        <w:rPr>
          <w:rFonts w:ascii="Times New Roman" w:hAnsi="Times New Roman" w:cs="Times New Roman"/>
          <w:b w:val="0"/>
          <w:w w:val="105"/>
          <w:sz w:val="24"/>
          <w:szCs w:val="24"/>
          <w:lang w:val="uk-UA"/>
        </w:rPr>
        <w:t>знежирене молоко, сахароза, желатин, буфер HEPES</w:t>
      </w:r>
      <w:r w:rsidR="00F06231" w:rsidRPr="002775A6">
        <w:rPr>
          <w:rFonts w:ascii="Times New Roman" w:hAnsi="Times New Roman" w:cs="Times New Roman"/>
          <w:b w:val="0"/>
          <w:w w:val="105"/>
          <w:sz w:val="24"/>
          <w:szCs w:val="24"/>
          <w:lang w:val="uk-UA"/>
        </w:rPr>
        <w:t>.</w:t>
      </w:r>
    </w:p>
    <w:p w:rsidR="00D66B08" w:rsidRPr="002775A6" w:rsidRDefault="00D66B08" w:rsidP="007E3E2A">
      <w:pPr>
        <w:ind w:right="-1"/>
        <w:jc w:val="both"/>
        <w:rPr>
          <w:b/>
        </w:rPr>
      </w:pPr>
      <w:r w:rsidRPr="002775A6">
        <w:rPr>
          <w:b/>
        </w:rPr>
        <w:t>3. Фармацевтична форма</w:t>
      </w:r>
    </w:p>
    <w:p w:rsidR="004B44F2" w:rsidRPr="002775A6" w:rsidRDefault="004B44F2" w:rsidP="004B44F2">
      <w:pPr>
        <w:ind w:right="-1"/>
        <w:jc w:val="both"/>
        <w:rPr>
          <w:rFonts w:eastAsia="Arial"/>
          <w:w w:val="105"/>
          <w:lang w:eastAsia="en-US"/>
        </w:rPr>
      </w:pPr>
      <w:proofErr w:type="spellStart"/>
      <w:r w:rsidRPr="002775A6">
        <w:rPr>
          <w:rFonts w:eastAsia="Arial"/>
          <w:w w:val="105"/>
          <w:lang w:eastAsia="en-US"/>
        </w:rPr>
        <w:t>Ліофілізат</w:t>
      </w:r>
      <w:proofErr w:type="spellEnd"/>
      <w:r w:rsidRPr="002775A6">
        <w:rPr>
          <w:rFonts w:eastAsia="Arial"/>
          <w:w w:val="105"/>
          <w:lang w:eastAsia="en-US"/>
        </w:rPr>
        <w:t>.</w:t>
      </w:r>
    </w:p>
    <w:p w:rsidR="004B44F2" w:rsidRPr="002775A6" w:rsidRDefault="004B44F2" w:rsidP="004B44F2">
      <w:pPr>
        <w:ind w:right="-1"/>
        <w:jc w:val="both"/>
        <w:rPr>
          <w:rFonts w:eastAsia="Arial"/>
          <w:w w:val="105"/>
          <w:lang w:eastAsia="en-US"/>
        </w:rPr>
      </w:pPr>
      <w:proofErr w:type="spellStart"/>
      <w:r w:rsidRPr="002775A6">
        <w:rPr>
          <w:rFonts w:eastAsia="Arial"/>
          <w:w w:val="105"/>
          <w:lang w:eastAsia="en-US"/>
        </w:rPr>
        <w:t>Зовнійшній</w:t>
      </w:r>
      <w:proofErr w:type="spellEnd"/>
      <w:r w:rsidRPr="002775A6">
        <w:rPr>
          <w:rFonts w:eastAsia="Arial"/>
          <w:w w:val="105"/>
          <w:lang w:eastAsia="en-US"/>
        </w:rPr>
        <w:t xml:space="preserve"> вигляд: таблетка від біло-бежевого до біло-коричневого кольору.</w:t>
      </w:r>
    </w:p>
    <w:p w:rsidR="00D66B08" w:rsidRPr="002775A6" w:rsidRDefault="00D66B08" w:rsidP="004B44F2">
      <w:pPr>
        <w:ind w:right="-1"/>
        <w:jc w:val="both"/>
        <w:rPr>
          <w:b/>
        </w:rPr>
      </w:pPr>
      <w:r w:rsidRPr="002775A6">
        <w:rPr>
          <w:b/>
        </w:rPr>
        <w:t>4. Імунобіологічні властивості</w:t>
      </w:r>
    </w:p>
    <w:p w:rsidR="00DA3D81" w:rsidRPr="002775A6" w:rsidRDefault="00DA3D81" w:rsidP="007E3E2A">
      <w:pPr>
        <w:ind w:right="-1"/>
        <w:jc w:val="both"/>
      </w:pPr>
      <w:proofErr w:type="spellStart"/>
      <w:r w:rsidRPr="002775A6">
        <w:t>Фармакотерапевтична</w:t>
      </w:r>
      <w:proofErr w:type="spellEnd"/>
      <w:r w:rsidRPr="002775A6">
        <w:t xml:space="preserve"> група: "Жива бактеріальна вакцина (</w:t>
      </w:r>
      <w:proofErr w:type="spellStart"/>
      <w:r w:rsidRPr="002775A6">
        <w:rPr>
          <w:i/>
        </w:rPr>
        <w:t>Salmonella</w:t>
      </w:r>
      <w:proofErr w:type="spellEnd"/>
      <w:r w:rsidRPr="002775A6">
        <w:t xml:space="preserve">) для домашньої птиці ” </w:t>
      </w:r>
      <w:proofErr w:type="spellStart"/>
      <w:r w:rsidRPr="002775A6">
        <w:t>ATCvet</w:t>
      </w:r>
      <w:proofErr w:type="spellEnd"/>
      <w:r w:rsidRPr="002775A6">
        <w:t xml:space="preserve"> </w:t>
      </w:r>
      <w:proofErr w:type="spellStart"/>
      <w:r w:rsidRPr="002775A6">
        <w:t>code</w:t>
      </w:r>
      <w:proofErr w:type="spellEnd"/>
      <w:r w:rsidRPr="002775A6">
        <w:t>: QI01AE01</w:t>
      </w:r>
    </w:p>
    <w:p w:rsidR="00DA3D81" w:rsidRPr="002775A6" w:rsidRDefault="00DA3D81" w:rsidP="007E3E2A">
      <w:pPr>
        <w:ind w:right="-1"/>
        <w:jc w:val="both"/>
      </w:pPr>
      <w:r w:rsidRPr="002775A6">
        <w:t xml:space="preserve">PRIMUN </w:t>
      </w:r>
      <w:proofErr w:type="spellStart"/>
      <w:r w:rsidRPr="002775A6">
        <w:t>Salmonella</w:t>
      </w:r>
      <w:proofErr w:type="spellEnd"/>
      <w:r w:rsidRPr="002775A6">
        <w:t xml:space="preserve"> T сти</w:t>
      </w:r>
      <w:r w:rsidR="004B44F2" w:rsidRPr="002775A6">
        <w:t xml:space="preserve">мулює активний імунітет проти </w:t>
      </w:r>
      <w:proofErr w:type="spellStart"/>
      <w:r w:rsidRPr="002775A6">
        <w:rPr>
          <w:i/>
        </w:rPr>
        <w:t>Salmonella</w:t>
      </w:r>
      <w:proofErr w:type="spellEnd"/>
      <w:r w:rsidRPr="002775A6">
        <w:rPr>
          <w:i/>
        </w:rPr>
        <w:t xml:space="preserve"> </w:t>
      </w:r>
      <w:proofErr w:type="spellStart"/>
      <w:r w:rsidRPr="002775A6">
        <w:rPr>
          <w:i/>
        </w:rPr>
        <w:t>Typhimurium</w:t>
      </w:r>
      <w:proofErr w:type="spellEnd"/>
      <w:r w:rsidRPr="002775A6">
        <w:t>.</w:t>
      </w:r>
    </w:p>
    <w:p w:rsidR="00DA3D81" w:rsidRPr="002775A6" w:rsidRDefault="00DA3D81" w:rsidP="007E3E2A">
      <w:pPr>
        <w:ind w:right="-1"/>
        <w:jc w:val="both"/>
      </w:pPr>
      <w:r w:rsidRPr="002775A6">
        <w:t xml:space="preserve">Вакцинний штам є природним метаболічним дрейфовим мутантом, тобто у нього відсутні або не </w:t>
      </w:r>
      <w:proofErr w:type="spellStart"/>
      <w:r w:rsidRPr="002775A6">
        <w:t>експресуються</w:t>
      </w:r>
      <w:proofErr w:type="spellEnd"/>
      <w:r w:rsidRPr="002775A6">
        <w:t xml:space="preserve"> певні метаболічні шляхи, що призводить до </w:t>
      </w:r>
      <w:proofErr w:type="spellStart"/>
      <w:r w:rsidRPr="002775A6">
        <w:t>атенуації</w:t>
      </w:r>
      <w:proofErr w:type="spellEnd"/>
      <w:r w:rsidRPr="002775A6">
        <w:t xml:space="preserve">. Генетичною основою є дефект </w:t>
      </w:r>
      <w:proofErr w:type="spellStart"/>
      <w:r w:rsidRPr="002775A6">
        <w:t>рибосомального</w:t>
      </w:r>
      <w:proofErr w:type="spellEnd"/>
      <w:r w:rsidRPr="002775A6">
        <w:t xml:space="preserve"> білка S12, що впливає на синтез поліпептидів (стійкість до стрептоміцину), та дефект РНК-</w:t>
      </w:r>
      <w:proofErr w:type="spellStart"/>
      <w:r w:rsidRPr="002775A6">
        <w:t>полімерази</w:t>
      </w:r>
      <w:proofErr w:type="spellEnd"/>
      <w:r w:rsidRPr="002775A6">
        <w:t xml:space="preserve">, що впливає на транскрипцію ДНК в РНК (стійкість до </w:t>
      </w:r>
      <w:proofErr w:type="spellStart"/>
      <w:r w:rsidRPr="002775A6">
        <w:t>рифампіцину</w:t>
      </w:r>
      <w:proofErr w:type="spellEnd"/>
      <w:r w:rsidRPr="002775A6">
        <w:t>).</w:t>
      </w:r>
    </w:p>
    <w:p w:rsidR="00A41875" w:rsidRPr="002775A6" w:rsidRDefault="00DA3D81" w:rsidP="007E3E2A">
      <w:pPr>
        <w:ind w:right="-1"/>
        <w:jc w:val="both"/>
      </w:pPr>
      <w:r w:rsidRPr="002775A6">
        <w:t xml:space="preserve">Вакцинний штам також має </w:t>
      </w:r>
      <w:proofErr w:type="spellStart"/>
      <w:r w:rsidRPr="002775A6">
        <w:t>аттенуацію</w:t>
      </w:r>
      <w:proofErr w:type="spellEnd"/>
      <w:r w:rsidRPr="002775A6">
        <w:t xml:space="preserve">, що підвищує проникність клітинної мембрани для шкідливих агентів, таких як миючі засоби та антибіотики. Це означає, що штам погано виживає в навколишньому середовищі, має високу чутливість до </w:t>
      </w:r>
      <w:proofErr w:type="spellStart"/>
      <w:r w:rsidRPr="002775A6">
        <w:t>хінолонів</w:t>
      </w:r>
      <w:proofErr w:type="spellEnd"/>
      <w:r w:rsidRPr="002775A6">
        <w:t xml:space="preserve"> і, на відміну від польових штамів, чутливий до </w:t>
      </w:r>
      <w:proofErr w:type="spellStart"/>
      <w:r w:rsidRPr="002775A6">
        <w:t>енрофлоксацину</w:t>
      </w:r>
      <w:proofErr w:type="spellEnd"/>
      <w:r w:rsidRPr="002775A6">
        <w:t>.</w:t>
      </w:r>
    </w:p>
    <w:p w:rsidR="00A41875" w:rsidRPr="002775A6" w:rsidRDefault="00A41875" w:rsidP="007E3E2A">
      <w:pPr>
        <w:ind w:right="-1"/>
        <w:jc w:val="both"/>
      </w:pPr>
      <w:r w:rsidRPr="002775A6">
        <w:t>Час настання імунітету: 14 днів після першої вакцинації.</w:t>
      </w:r>
    </w:p>
    <w:p w:rsidR="00A41875" w:rsidRPr="002775A6" w:rsidRDefault="00A41875" w:rsidP="007E3E2A">
      <w:pPr>
        <w:ind w:right="-1"/>
        <w:jc w:val="both"/>
      </w:pPr>
      <w:r w:rsidRPr="002775A6">
        <w:t>Тривалість імунітету: 61 тиждень після третьої вакцинації, при застосуванні відповідно до рекомендованого графіка вакцинації.</w:t>
      </w:r>
    </w:p>
    <w:p w:rsidR="00D66B08" w:rsidRPr="002775A6" w:rsidRDefault="00D66B08" w:rsidP="007E3E2A">
      <w:pPr>
        <w:ind w:right="-1"/>
        <w:jc w:val="both"/>
        <w:rPr>
          <w:b/>
        </w:rPr>
      </w:pPr>
      <w:r w:rsidRPr="002775A6">
        <w:rPr>
          <w:b/>
        </w:rPr>
        <w:t>5. Клінічні особливості</w:t>
      </w:r>
    </w:p>
    <w:p w:rsidR="00D66B08" w:rsidRPr="002775A6" w:rsidRDefault="00D66B08" w:rsidP="007E3E2A">
      <w:pPr>
        <w:ind w:right="-1"/>
        <w:jc w:val="both"/>
        <w:rPr>
          <w:b/>
        </w:rPr>
      </w:pPr>
      <w:r w:rsidRPr="002775A6">
        <w:rPr>
          <w:b/>
        </w:rPr>
        <w:t>5.1. Вид тварин</w:t>
      </w:r>
    </w:p>
    <w:p w:rsidR="00D66B08" w:rsidRPr="002775A6" w:rsidRDefault="009A29EE" w:rsidP="007E3E2A">
      <w:pPr>
        <w:ind w:right="-1"/>
        <w:jc w:val="both"/>
        <w:rPr>
          <w:b/>
        </w:rPr>
      </w:pPr>
      <w:r w:rsidRPr="002775A6">
        <w:t>Кури</w:t>
      </w:r>
      <w:r w:rsidR="00D66B08" w:rsidRPr="002775A6">
        <w:t>.</w:t>
      </w:r>
      <w:r w:rsidR="00D66B08" w:rsidRPr="002775A6">
        <w:rPr>
          <w:b/>
        </w:rPr>
        <w:t xml:space="preserve"> </w:t>
      </w:r>
    </w:p>
    <w:p w:rsidR="00D66B08" w:rsidRPr="002775A6" w:rsidRDefault="00D66B08" w:rsidP="007E3E2A">
      <w:pPr>
        <w:ind w:right="-1"/>
        <w:jc w:val="both"/>
        <w:rPr>
          <w:b/>
        </w:rPr>
      </w:pPr>
      <w:r w:rsidRPr="002775A6">
        <w:rPr>
          <w:b/>
        </w:rPr>
        <w:t>5.2. Показання до застосування</w:t>
      </w:r>
    </w:p>
    <w:p w:rsidR="00A41875" w:rsidRPr="002775A6" w:rsidRDefault="005C72E0" w:rsidP="007E3E2A">
      <w:pPr>
        <w:ind w:right="-1"/>
        <w:jc w:val="both"/>
        <w:rPr>
          <w:i/>
        </w:rPr>
      </w:pPr>
      <w:r w:rsidRPr="002775A6">
        <w:t>Активна імунізація курчат</w:t>
      </w:r>
      <w:r w:rsidR="00A41875" w:rsidRPr="002775A6">
        <w:t xml:space="preserve"> для зменшення екскреції з фекаліями та колонізації внутрішніх органів польовими штамами </w:t>
      </w:r>
      <w:proofErr w:type="spellStart"/>
      <w:r w:rsidR="00A41875" w:rsidRPr="002775A6">
        <w:rPr>
          <w:i/>
        </w:rPr>
        <w:t>Salmonella</w:t>
      </w:r>
      <w:proofErr w:type="spellEnd"/>
      <w:r w:rsidR="00A41875" w:rsidRPr="002775A6">
        <w:rPr>
          <w:i/>
        </w:rPr>
        <w:t xml:space="preserve"> </w:t>
      </w:r>
      <w:proofErr w:type="spellStart"/>
      <w:r w:rsidR="00A41875" w:rsidRPr="002775A6">
        <w:rPr>
          <w:i/>
        </w:rPr>
        <w:t>Typhimurium</w:t>
      </w:r>
      <w:proofErr w:type="spellEnd"/>
      <w:r w:rsidR="00A41875" w:rsidRPr="002775A6">
        <w:rPr>
          <w:i/>
        </w:rPr>
        <w:t>.</w:t>
      </w:r>
    </w:p>
    <w:p w:rsidR="00D66B08" w:rsidRPr="002775A6" w:rsidRDefault="00D66B08" w:rsidP="007E3E2A">
      <w:pPr>
        <w:ind w:right="-1"/>
        <w:jc w:val="both"/>
        <w:rPr>
          <w:b/>
        </w:rPr>
      </w:pPr>
      <w:r w:rsidRPr="002775A6">
        <w:rPr>
          <w:b/>
        </w:rPr>
        <w:t>5.3. Протипоказання</w:t>
      </w:r>
    </w:p>
    <w:p w:rsidR="00A41875" w:rsidRPr="002775A6" w:rsidRDefault="006D7E2A" w:rsidP="007E3E2A">
      <w:pPr>
        <w:ind w:right="-1"/>
        <w:jc w:val="both"/>
      </w:pPr>
      <w:r w:rsidRPr="002775A6">
        <w:t>Не використовувати на хворій і ослабленій птиці</w:t>
      </w:r>
      <w:r w:rsidR="00A41875" w:rsidRPr="002775A6">
        <w:t>.</w:t>
      </w:r>
    </w:p>
    <w:p w:rsidR="00D66B08" w:rsidRPr="002775A6" w:rsidRDefault="00D66B08" w:rsidP="007E3E2A">
      <w:pPr>
        <w:ind w:right="-1"/>
        <w:jc w:val="both"/>
        <w:rPr>
          <w:b/>
        </w:rPr>
      </w:pPr>
      <w:r w:rsidRPr="002775A6">
        <w:rPr>
          <w:b/>
        </w:rPr>
        <w:t>5.4. Побічна дія</w:t>
      </w:r>
    </w:p>
    <w:p w:rsidR="00A41875" w:rsidRPr="002775A6" w:rsidRDefault="00A41875" w:rsidP="007E3E2A">
      <w:pPr>
        <w:ind w:right="-1"/>
        <w:jc w:val="both"/>
      </w:pPr>
      <w:r w:rsidRPr="002775A6">
        <w:t>Відсутня.</w:t>
      </w:r>
    </w:p>
    <w:p w:rsidR="00D66B08" w:rsidRPr="002775A6" w:rsidRDefault="00D66B08" w:rsidP="007E3E2A">
      <w:pPr>
        <w:ind w:right="-1"/>
        <w:jc w:val="both"/>
        <w:rPr>
          <w:b/>
        </w:rPr>
      </w:pPr>
      <w:r w:rsidRPr="002775A6">
        <w:rPr>
          <w:b/>
        </w:rPr>
        <w:t xml:space="preserve">5.5. Особливі застереження при використанні </w:t>
      </w:r>
    </w:p>
    <w:p w:rsidR="00840AA7" w:rsidRPr="002775A6" w:rsidRDefault="008C6152" w:rsidP="007E3E2A">
      <w:pPr>
        <w:pStyle w:val="a8"/>
        <w:autoSpaceDE w:val="0"/>
        <w:autoSpaceDN w:val="0"/>
        <w:adjustRightInd w:val="0"/>
        <w:ind w:left="0" w:right="-1"/>
        <w:jc w:val="both"/>
      </w:pPr>
      <w:r w:rsidRPr="002775A6">
        <w:t>Вакцинуйте лише здорову птицю</w:t>
      </w:r>
      <w:r w:rsidR="00840AA7" w:rsidRPr="002775A6">
        <w:t>.</w:t>
      </w:r>
    </w:p>
    <w:p w:rsidR="00140057" w:rsidRPr="002775A6" w:rsidRDefault="00140057" w:rsidP="007E3E2A">
      <w:pPr>
        <w:ind w:right="-1"/>
        <w:jc w:val="both"/>
        <w:rPr>
          <w:b/>
        </w:rPr>
      </w:pPr>
      <w:r w:rsidRPr="002775A6">
        <w:rPr>
          <w:b/>
        </w:rPr>
        <w:t>5.6. Застосування під час несучості</w:t>
      </w:r>
    </w:p>
    <w:p w:rsidR="00140057" w:rsidRPr="002775A6" w:rsidRDefault="00140057" w:rsidP="007E3E2A">
      <w:pPr>
        <w:ind w:right="-1"/>
        <w:jc w:val="both"/>
      </w:pPr>
      <w:r w:rsidRPr="002775A6">
        <w:t>Безпечність застосування ветеринарного препарату під час несучості не встановлена. Не застосовувати птиці у період несучості та протягом 4 тижнів до початку періоду несучості.</w:t>
      </w:r>
    </w:p>
    <w:p w:rsidR="00140057" w:rsidRPr="002775A6" w:rsidRDefault="00140057" w:rsidP="007E3E2A">
      <w:pPr>
        <w:pStyle w:val="a8"/>
        <w:autoSpaceDE w:val="0"/>
        <w:autoSpaceDN w:val="0"/>
        <w:adjustRightInd w:val="0"/>
        <w:ind w:left="0" w:right="-1"/>
        <w:jc w:val="both"/>
      </w:pPr>
    </w:p>
    <w:p w:rsidR="00BC15DB" w:rsidRPr="002775A6" w:rsidRDefault="00BC15DB" w:rsidP="007E3E2A">
      <w:pPr>
        <w:pStyle w:val="a8"/>
        <w:autoSpaceDE w:val="0"/>
        <w:autoSpaceDN w:val="0"/>
        <w:adjustRightInd w:val="0"/>
        <w:ind w:right="-1" w:firstLine="567"/>
        <w:jc w:val="right"/>
      </w:pPr>
    </w:p>
    <w:p w:rsidR="00052708" w:rsidRPr="002775A6" w:rsidRDefault="00B2286F" w:rsidP="007E3E2A">
      <w:pPr>
        <w:pStyle w:val="a8"/>
        <w:autoSpaceDE w:val="0"/>
        <w:autoSpaceDN w:val="0"/>
        <w:adjustRightInd w:val="0"/>
        <w:ind w:right="-1" w:firstLine="567"/>
        <w:jc w:val="right"/>
      </w:pPr>
      <w:r w:rsidRPr="002775A6">
        <w:lastRenderedPageBreak/>
        <w:t>Продовження додатку</w:t>
      </w:r>
      <w:r w:rsidR="00052708" w:rsidRPr="002775A6">
        <w:t xml:space="preserve"> №1</w:t>
      </w:r>
    </w:p>
    <w:p w:rsidR="00052708" w:rsidRPr="002775A6" w:rsidRDefault="00052708" w:rsidP="007E3E2A">
      <w:pPr>
        <w:pStyle w:val="a8"/>
        <w:autoSpaceDE w:val="0"/>
        <w:autoSpaceDN w:val="0"/>
        <w:adjustRightInd w:val="0"/>
        <w:ind w:right="-1" w:firstLine="567"/>
        <w:jc w:val="right"/>
      </w:pPr>
      <w:r w:rsidRPr="002775A6">
        <w:t>до реєстраційного посвідчення</w:t>
      </w:r>
    </w:p>
    <w:p w:rsidR="00052708" w:rsidRPr="002775A6" w:rsidRDefault="00052708" w:rsidP="007E3E2A">
      <w:pPr>
        <w:pStyle w:val="a8"/>
        <w:autoSpaceDE w:val="0"/>
        <w:autoSpaceDN w:val="0"/>
        <w:adjustRightInd w:val="0"/>
        <w:ind w:right="-1" w:firstLine="567"/>
        <w:jc w:val="right"/>
      </w:pPr>
      <w:r w:rsidRPr="002775A6">
        <w:t>№</w:t>
      </w:r>
    </w:p>
    <w:p w:rsidR="00052708" w:rsidRPr="002775A6" w:rsidRDefault="00052708" w:rsidP="007E3E2A">
      <w:pPr>
        <w:pStyle w:val="a8"/>
        <w:autoSpaceDE w:val="0"/>
        <w:autoSpaceDN w:val="0"/>
        <w:adjustRightInd w:val="0"/>
        <w:ind w:left="0" w:right="-1" w:firstLine="567"/>
        <w:jc w:val="right"/>
      </w:pPr>
      <w:r w:rsidRPr="002775A6">
        <w:t>Від</w:t>
      </w:r>
    </w:p>
    <w:p w:rsidR="00052708" w:rsidRPr="002775A6" w:rsidRDefault="00052708" w:rsidP="007E3E2A">
      <w:pPr>
        <w:pStyle w:val="a8"/>
        <w:autoSpaceDE w:val="0"/>
        <w:autoSpaceDN w:val="0"/>
        <w:adjustRightInd w:val="0"/>
        <w:ind w:left="0" w:right="-1" w:firstLine="567"/>
        <w:jc w:val="right"/>
      </w:pPr>
    </w:p>
    <w:p w:rsidR="00D66B08" w:rsidRPr="002775A6" w:rsidRDefault="00D66B08" w:rsidP="007E3E2A">
      <w:pPr>
        <w:ind w:right="-1"/>
        <w:jc w:val="both"/>
        <w:rPr>
          <w:b/>
        </w:rPr>
      </w:pPr>
      <w:r w:rsidRPr="002775A6">
        <w:rPr>
          <w:b/>
        </w:rPr>
        <w:t>5.7. Взаємодія з іншими засобами та інші форми взаємодії</w:t>
      </w:r>
    </w:p>
    <w:p w:rsidR="00C34ACB" w:rsidRPr="002775A6" w:rsidRDefault="00C34ACB" w:rsidP="00C34ACB">
      <w:pPr>
        <w:jc w:val="both"/>
      </w:pPr>
      <w:r w:rsidRPr="002775A6">
        <w:t xml:space="preserve">Оскільки вакцинний штам складається з живих бактерій, слід уникати одночасного застосування хіміотерапевтичних препаратів, ефективних проти сальмонели. Однак, якщо це неминуче, необхідно провести повторну імунізацію стада. Цей продукт можна застосовувати через 7 днів після або до введення хіміотерапевтичних препаратів, які ефективні проти сальмонели. Якщо це неминуче, необхідно провести повторну імунізацію стада. </w:t>
      </w:r>
    </w:p>
    <w:p w:rsidR="00F43A75" w:rsidRPr="002775A6" w:rsidRDefault="00F43A75" w:rsidP="007E3E2A">
      <w:pPr>
        <w:pStyle w:val="ac"/>
        <w:spacing w:before="111"/>
        <w:ind w:right="-1"/>
        <w:jc w:val="both"/>
        <w:rPr>
          <w:rFonts w:ascii="Times New Roman" w:hAnsi="Times New Roman" w:cs="Times New Roman"/>
          <w:w w:val="105"/>
          <w:sz w:val="24"/>
          <w:szCs w:val="24"/>
          <w:lang w:val="uk-UA"/>
        </w:rPr>
      </w:pPr>
      <w:r w:rsidRPr="002775A6">
        <w:rPr>
          <w:rFonts w:ascii="Times New Roman" w:hAnsi="Times New Roman" w:cs="Times New Roman"/>
          <w:w w:val="105"/>
          <w:sz w:val="24"/>
          <w:szCs w:val="24"/>
          <w:lang w:val="uk-UA"/>
        </w:rPr>
        <w:t>Інформація про безпечність та ефективність цієї вакцини при застосуванні з будь-якими іншими ветеринарними препаратами відсутня, тому рішення про застосування цієї вакцини до або після будь-якого іншого ветеринарного препарату необхідно приймати індивідуально в кожному конкретному випадку.</w:t>
      </w:r>
    </w:p>
    <w:p w:rsidR="00F43A75" w:rsidRPr="002775A6" w:rsidRDefault="00F43A75" w:rsidP="007E3E2A">
      <w:pPr>
        <w:pStyle w:val="ac"/>
        <w:ind w:right="-1"/>
        <w:jc w:val="both"/>
        <w:rPr>
          <w:rFonts w:ascii="Times New Roman" w:hAnsi="Times New Roman" w:cs="Times New Roman"/>
          <w:w w:val="105"/>
          <w:sz w:val="24"/>
          <w:szCs w:val="24"/>
          <w:lang w:val="uk-UA"/>
        </w:rPr>
      </w:pPr>
      <w:r w:rsidRPr="002775A6">
        <w:rPr>
          <w:rFonts w:ascii="Times New Roman" w:hAnsi="Times New Roman" w:cs="Times New Roman"/>
          <w:w w:val="105"/>
          <w:sz w:val="24"/>
          <w:szCs w:val="24"/>
          <w:lang w:val="uk-UA"/>
        </w:rPr>
        <w:t>Дослідження, проведені з комбінованим складом вакцини проти сальмонельозу PRIMUN SALMONELLA Е</w:t>
      </w:r>
      <w:r w:rsidR="00EB23E0" w:rsidRPr="002775A6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</w:t>
      </w:r>
      <w:r w:rsidRPr="002775A6">
        <w:rPr>
          <w:rFonts w:ascii="Times New Roman" w:hAnsi="Times New Roman" w:cs="Times New Roman"/>
          <w:w w:val="105"/>
          <w:sz w:val="24"/>
          <w:szCs w:val="24"/>
          <w:lang w:val="uk-UA"/>
        </w:rPr>
        <w:t>+</w:t>
      </w:r>
      <w:r w:rsidR="00EB23E0" w:rsidRPr="002775A6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PRIMUN SALMONELLA </w:t>
      </w:r>
      <w:r w:rsidRPr="002775A6">
        <w:rPr>
          <w:rFonts w:ascii="Times New Roman" w:hAnsi="Times New Roman" w:cs="Times New Roman"/>
          <w:w w:val="105"/>
          <w:sz w:val="24"/>
          <w:szCs w:val="24"/>
          <w:lang w:val="uk-UA"/>
        </w:rPr>
        <w:t>Т, свідчать про відсутність негативних взаємодій.</w:t>
      </w:r>
    </w:p>
    <w:p w:rsidR="00942AFF" w:rsidRPr="002775A6" w:rsidRDefault="00942AFF" w:rsidP="00942AFF">
      <w:pPr>
        <w:ind w:right="-1"/>
        <w:jc w:val="both"/>
        <w:rPr>
          <w:rFonts w:eastAsia="Arial"/>
          <w:lang w:eastAsia="en-US"/>
        </w:rPr>
      </w:pPr>
      <w:r w:rsidRPr="002775A6">
        <w:rPr>
          <w:rFonts w:eastAsia="Arial"/>
          <w:lang w:eastAsia="en-US"/>
        </w:rPr>
        <w:t xml:space="preserve">Диференціація між вакцинними та польовими штамами досягається за допомогою </w:t>
      </w:r>
      <w:proofErr w:type="spellStart"/>
      <w:r w:rsidRPr="002775A6">
        <w:rPr>
          <w:rFonts w:eastAsia="Arial"/>
          <w:lang w:eastAsia="en-US"/>
        </w:rPr>
        <w:t>антибіотикограми</w:t>
      </w:r>
      <w:proofErr w:type="spellEnd"/>
      <w:r w:rsidRPr="002775A6">
        <w:rPr>
          <w:rFonts w:eastAsia="Arial"/>
          <w:lang w:eastAsia="en-US"/>
        </w:rPr>
        <w:t xml:space="preserve">, а також за допомогою молекулярно-генетичних методів досліджень. На відміну від польових штамів, вакцинний штам чутливий до </w:t>
      </w:r>
      <w:proofErr w:type="spellStart"/>
      <w:r w:rsidRPr="002775A6">
        <w:rPr>
          <w:rFonts w:eastAsia="Arial"/>
          <w:lang w:eastAsia="en-US"/>
        </w:rPr>
        <w:t>енрофлоксацину</w:t>
      </w:r>
      <w:proofErr w:type="spellEnd"/>
      <w:r w:rsidRPr="002775A6">
        <w:rPr>
          <w:rFonts w:eastAsia="Arial"/>
          <w:lang w:eastAsia="en-US"/>
        </w:rPr>
        <w:t xml:space="preserve"> (рекомендована концентрація 0,5 </w:t>
      </w:r>
      <w:proofErr w:type="spellStart"/>
      <w:r w:rsidRPr="002775A6">
        <w:rPr>
          <w:rFonts w:eastAsia="Arial"/>
          <w:lang w:eastAsia="en-US"/>
        </w:rPr>
        <w:t>мкг</w:t>
      </w:r>
      <w:proofErr w:type="spellEnd"/>
      <w:r w:rsidRPr="002775A6">
        <w:rPr>
          <w:rFonts w:eastAsia="Arial"/>
          <w:lang w:eastAsia="en-US"/>
        </w:rPr>
        <w:t xml:space="preserve">/мл) і стійкий до стрептоміцину (рекомендована концентрація 50-100 </w:t>
      </w:r>
      <w:proofErr w:type="spellStart"/>
      <w:r w:rsidRPr="002775A6">
        <w:rPr>
          <w:rFonts w:eastAsia="Arial"/>
          <w:lang w:eastAsia="en-US"/>
        </w:rPr>
        <w:t>мкг</w:t>
      </w:r>
      <w:proofErr w:type="spellEnd"/>
      <w:r w:rsidRPr="002775A6">
        <w:rPr>
          <w:rFonts w:eastAsia="Arial"/>
          <w:lang w:eastAsia="en-US"/>
        </w:rPr>
        <w:t xml:space="preserve">/мл) і </w:t>
      </w:r>
      <w:proofErr w:type="spellStart"/>
      <w:r w:rsidRPr="002775A6">
        <w:rPr>
          <w:rFonts w:eastAsia="Arial"/>
          <w:lang w:eastAsia="en-US"/>
        </w:rPr>
        <w:t>рифампіцину</w:t>
      </w:r>
      <w:proofErr w:type="spellEnd"/>
      <w:r w:rsidRPr="002775A6">
        <w:rPr>
          <w:rFonts w:eastAsia="Arial"/>
          <w:lang w:eastAsia="en-US"/>
        </w:rPr>
        <w:t xml:space="preserve"> (рекомендована концентрація 5-10 </w:t>
      </w:r>
      <w:proofErr w:type="spellStart"/>
      <w:r w:rsidRPr="002775A6">
        <w:rPr>
          <w:rFonts w:eastAsia="Arial"/>
          <w:lang w:eastAsia="en-US"/>
        </w:rPr>
        <w:t>мкг</w:t>
      </w:r>
      <w:proofErr w:type="spellEnd"/>
      <w:r w:rsidRPr="002775A6">
        <w:rPr>
          <w:rFonts w:eastAsia="Arial"/>
          <w:lang w:eastAsia="en-US"/>
        </w:rPr>
        <w:t>/мл).</w:t>
      </w:r>
    </w:p>
    <w:p w:rsidR="00942AFF" w:rsidRPr="002775A6" w:rsidRDefault="00942AFF" w:rsidP="00942AFF">
      <w:pPr>
        <w:ind w:right="-1"/>
        <w:jc w:val="both"/>
        <w:rPr>
          <w:rFonts w:eastAsia="Arial"/>
          <w:lang w:eastAsia="en-US"/>
        </w:rPr>
      </w:pPr>
      <w:r w:rsidRPr="002775A6">
        <w:rPr>
          <w:rFonts w:eastAsia="Arial"/>
          <w:lang w:eastAsia="en-US"/>
        </w:rPr>
        <w:t xml:space="preserve"> Результати контролю ефективності вакцинації з використанням серологічних методів, рекомендовано додатково підтверджувати за допомогою бактеріологічних досліджень.   </w:t>
      </w:r>
    </w:p>
    <w:p w:rsidR="00942AFF" w:rsidRPr="002775A6" w:rsidRDefault="00942AFF" w:rsidP="00942AFF">
      <w:pPr>
        <w:ind w:right="-1"/>
        <w:jc w:val="both"/>
        <w:rPr>
          <w:rFonts w:eastAsia="Arial"/>
          <w:lang w:eastAsia="en-US"/>
        </w:rPr>
      </w:pPr>
      <w:r w:rsidRPr="002775A6">
        <w:rPr>
          <w:rFonts w:eastAsia="Arial"/>
          <w:lang w:eastAsia="en-US"/>
        </w:rPr>
        <w:t>У випадках виявлення сальмонели на фермах, де птиця була вакцинована препаратом (</w:t>
      </w:r>
      <w:proofErr w:type="spellStart"/>
      <w:r w:rsidRPr="002775A6">
        <w:rPr>
          <w:rFonts w:eastAsia="Arial"/>
          <w:lang w:eastAsia="en-US"/>
        </w:rPr>
        <w:t>Primun</w:t>
      </w:r>
      <w:proofErr w:type="spellEnd"/>
      <w:r w:rsidRPr="002775A6">
        <w:rPr>
          <w:rFonts w:eastAsia="Arial"/>
          <w:lang w:eastAsia="en-US"/>
        </w:rPr>
        <w:t xml:space="preserve"> </w:t>
      </w:r>
      <w:proofErr w:type="spellStart"/>
      <w:r w:rsidRPr="002775A6">
        <w:rPr>
          <w:rFonts w:eastAsia="Arial"/>
          <w:lang w:eastAsia="en-US"/>
        </w:rPr>
        <w:t>Salmonella</w:t>
      </w:r>
      <w:proofErr w:type="spellEnd"/>
      <w:r w:rsidRPr="002775A6">
        <w:rPr>
          <w:rFonts w:eastAsia="Arial"/>
          <w:lang w:eastAsia="en-US"/>
        </w:rPr>
        <w:t xml:space="preserve"> Т), можна проводити дослідження для диференціації живого вакцинного штаму </w:t>
      </w:r>
      <w:proofErr w:type="spellStart"/>
      <w:r w:rsidRPr="002775A6">
        <w:rPr>
          <w:rFonts w:eastAsia="Arial"/>
          <w:lang w:eastAsia="en-US"/>
        </w:rPr>
        <w:t>Salmonella</w:t>
      </w:r>
      <w:proofErr w:type="spellEnd"/>
      <w:r w:rsidRPr="002775A6">
        <w:rPr>
          <w:rFonts w:eastAsia="Arial"/>
          <w:lang w:eastAsia="en-US"/>
        </w:rPr>
        <w:t xml:space="preserve"> </w:t>
      </w:r>
      <w:proofErr w:type="spellStart"/>
      <w:r w:rsidRPr="002775A6">
        <w:rPr>
          <w:rFonts w:eastAsia="Arial"/>
          <w:lang w:eastAsia="en-US"/>
        </w:rPr>
        <w:t>typhimurium</w:t>
      </w:r>
      <w:proofErr w:type="spellEnd"/>
      <w:r w:rsidRPr="002775A6">
        <w:rPr>
          <w:rFonts w:eastAsia="Arial"/>
          <w:lang w:eastAsia="en-US"/>
        </w:rPr>
        <w:t xml:space="preserve"> (ST) CAL 16 </w:t>
      </w:r>
      <w:proofErr w:type="spellStart"/>
      <w:r w:rsidRPr="002775A6">
        <w:rPr>
          <w:rFonts w:eastAsia="Arial"/>
          <w:lang w:eastAsia="en-US"/>
        </w:rPr>
        <w:t>Str</w:t>
      </w:r>
      <w:proofErr w:type="spellEnd"/>
      <w:r w:rsidRPr="002775A6">
        <w:rPr>
          <w:rFonts w:eastAsia="Arial"/>
          <w:lang w:eastAsia="en-US"/>
        </w:rPr>
        <w:t>+/</w:t>
      </w:r>
      <w:proofErr w:type="spellStart"/>
      <w:r w:rsidRPr="002775A6">
        <w:rPr>
          <w:rFonts w:eastAsia="Arial"/>
          <w:lang w:eastAsia="en-US"/>
        </w:rPr>
        <w:t>Rif</w:t>
      </w:r>
      <w:proofErr w:type="spellEnd"/>
      <w:r w:rsidRPr="002775A6">
        <w:rPr>
          <w:rFonts w:eastAsia="Arial"/>
          <w:lang w:eastAsia="en-US"/>
        </w:rPr>
        <w:t>+/</w:t>
      </w:r>
      <w:proofErr w:type="spellStart"/>
      <w:r w:rsidRPr="002775A6">
        <w:rPr>
          <w:rFonts w:eastAsia="Arial"/>
          <w:lang w:eastAsia="en-US"/>
        </w:rPr>
        <w:t>Enr</w:t>
      </w:r>
      <w:proofErr w:type="spellEnd"/>
      <w:r w:rsidRPr="002775A6">
        <w:rPr>
          <w:rFonts w:eastAsia="Arial"/>
          <w:lang w:eastAsia="en-US"/>
        </w:rPr>
        <w:t>-, від польових (</w:t>
      </w:r>
      <w:proofErr w:type="spellStart"/>
      <w:r w:rsidRPr="002775A6">
        <w:rPr>
          <w:rFonts w:eastAsia="Arial"/>
          <w:lang w:eastAsia="en-US"/>
        </w:rPr>
        <w:t>Stf</w:t>
      </w:r>
      <w:proofErr w:type="spellEnd"/>
      <w:r w:rsidRPr="002775A6">
        <w:rPr>
          <w:rFonts w:eastAsia="Arial"/>
          <w:lang w:eastAsia="en-US"/>
        </w:rPr>
        <w:t xml:space="preserve">) з використанням комерційної тест-системи на основі методу </w:t>
      </w:r>
      <w:proofErr w:type="spellStart"/>
      <w:r w:rsidRPr="002775A6">
        <w:rPr>
          <w:rFonts w:eastAsia="Arial"/>
          <w:lang w:eastAsia="en-US"/>
        </w:rPr>
        <w:t>полімеразної</w:t>
      </w:r>
      <w:proofErr w:type="spellEnd"/>
      <w:r w:rsidRPr="002775A6">
        <w:rPr>
          <w:rFonts w:eastAsia="Arial"/>
          <w:lang w:eastAsia="en-US"/>
        </w:rPr>
        <w:t xml:space="preserve"> ланцюгової реакції в режимі реального часу «</w:t>
      </w:r>
      <w:proofErr w:type="spellStart"/>
      <w:r w:rsidRPr="002775A6">
        <w:rPr>
          <w:rFonts w:eastAsia="Arial"/>
          <w:lang w:eastAsia="en-US"/>
        </w:rPr>
        <w:t>SalTypm&amp;PriSal-T</w:t>
      </w:r>
      <w:proofErr w:type="spellEnd"/>
      <w:r w:rsidRPr="002775A6">
        <w:rPr>
          <w:rFonts w:eastAsia="Arial"/>
          <w:lang w:eastAsia="en-US"/>
        </w:rPr>
        <w:t xml:space="preserve"> MONODOSE </w:t>
      </w:r>
      <w:proofErr w:type="spellStart"/>
      <w:r w:rsidRPr="002775A6">
        <w:rPr>
          <w:rFonts w:eastAsia="Arial"/>
          <w:lang w:eastAsia="en-US"/>
        </w:rPr>
        <w:t>qPCR</w:t>
      </w:r>
      <w:proofErr w:type="spellEnd"/>
      <w:r w:rsidRPr="002775A6">
        <w:rPr>
          <w:rFonts w:eastAsia="Arial"/>
          <w:lang w:eastAsia="en-US"/>
        </w:rPr>
        <w:t xml:space="preserve"> </w:t>
      </w:r>
      <w:proofErr w:type="spellStart"/>
      <w:r w:rsidRPr="002775A6">
        <w:rPr>
          <w:rFonts w:eastAsia="Arial"/>
          <w:lang w:eastAsia="en-US"/>
        </w:rPr>
        <w:t>Duplex</w:t>
      </w:r>
      <w:proofErr w:type="spellEnd"/>
      <w:r w:rsidRPr="002775A6">
        <w:rPr>
          <w:rFonts w:eastAsia="Arial"/>
          <w:lang w:eastAsia="en-US"/>
        </w:rPr>
        <w:t>» (</w:t>
      </w:r>
      <w:proofErr w:type="spellStart"/>
      <w:r w:rsidRPr="002775A6">
        <w:rPr>
          <w:rFonts w:eastAsia="Arial"/>
          <w:lang w:eastAsia="en-US"/>
        </w:rPr>
        <w:t>Genetic</w:t>
      </w:r>
      <w:proofErr w:type="spellEnd"/>
      <w:r w:rsidRPr="002775A6">
        <w:rPr>
          <w:rFonts w:eastAsia="Arial"/>
          <w:lang w:eastAsia="en-US"/>
        </w:rPr>
        <w:t xml:space="preserve"> PCR </w:t>
      </w:r>
      <w:proofErr w:type="spellStart"/>
      <w:r w:rsidRPr="002775A6">
        <w:rPr>
          <w:rFonts w:eastAsia="Arial"/>
          <w:lang w:eastAsia="en-US"/>
        </w:rPr>
        <w:t>Solutions</w:t>
      </w:r>
      <w:proofErr w:type="spellEnd"/>
      <w:r w:rsidRPr="002775A6">
        <w:rPr>
          <w:rFonts w:eastAsia="Arial"/>
          <w:lang w:eastAsia="en-US"/>
        </w:rPr>
        <w:t xml:space="preserve">™ </w:t>
      </w:r>
      <w:proofErr w:type="spellStart"/>
      <w:r w:rsidRPr="002775A6">
        <w:rPr>
          <w:rFonts w:eastAsia="Arial"/>
          <w:lang w:eastAsia="en-US"/>
        </w:rPr>
        <w:t>by</w:t>
      </w:r>
      <w:proofErr w:type="spellEnd"/>
      <w:r w:rsidRPr="002775A6">
        <w:rPr>
          <w:rFonts w:eastAsia="Arial"/>
          <w:lang w:eastAsia="en-US"/>
        </w:rPr>
        <w:t xml:space="preserve"> GENETIC ANALYSIS STRATEGIES S.L  </w:t>
      </w:r>
      <w:proofErr w:type="spellStart"/>
      <w:r w:rsidRPr="002775A6">
        <w:rPr>
          <w:rFonts w:eastAsia="Arial"/>
          <w:lang w:eastAsia="en-US"/>
        </w:rPr>
        <w:t>Av</w:t>
      </w:r>
      <w:proofErr w:type="spellEnd"/>
      <w:r w:rsidRPr="002775A6">
        <w:rPr>
          <w:rFonts w:eastAsia="Arial"/>
          <w:lang w:eastAsia="en-US"/>
        </w:rPr>
        <w:t xml:space="preserve">. </w:t>
      </w:r>
      <w:proofErr w:type="spellStart"/>
      <w:r w:rsidRPr="002775A6">
        <w:rPr>
          <w:rFonts w:eastAsia="Arial"/>
          <w:lang w:eastAsia="en-US"/>
        </w:rPr>
        <w:t>Dr</w:t>
      </w:r>
      <w:proofErr w:type="spellEnd"/>
      <w:r w:rsidRPr="002775A6">
        <w:rPr>
          <w:rFonts w:eastAsia="Arial"/>
          <w:lang w:eastAsia="en-US"/>
        </w:rPr>
        <w:t xml:space="preserve">. </w:t>
      </w:r>
      <w:proofErr w:type="spellStart"/>
      <w:r w:rsidRPr="002775A6">
        <w:rPr>
          <w:rFonts w:eastAsia="Arial"/>
          <w:lang w:eastAsia="en-US"/>
        </w:rPr>
        <w:t>Gómez-Pardo</w:t>
      </w:r>
      <w:proofErr w:type="spellEnd"/>
      <w:r w:rsidRPr="002775A6">
        <w:rPr>
          <w:rFonts w:eastAsia="Arial"/>
          <w:lang w:eastAsia="en-US"/>
        </w:rPr>
        <w:t xml:space="preserve"> </w:t>
      </w:r>
      <w:proofErr w:type="spellStart"/>
      <w:r w:rsidRPr="002775A6">
        <w:rPr>
          <w:rFonts w:eastAsia="Arial"/>
          <w:lang w:eastAsia="en-US"/>
        </w:rPr>
        <w:t>Ródenas</w:t>
      </w:r>
      <w:proofErr w:type="spellEnd"/>
      <w:r w:rsidRPr="002775A6">
        <w:rPr>
          <w:rFonts w:eastAsia="Arial"/>
          <w:lang w:eastAsia="en-US"/>
        </w:rPr>
        <w:t>, 1  03300-Orihuela (</w:t>
      </w:r>
      <w:proofErr w:type="spellStart"/>
      <w:r w:rsidRPr="002775A6">
        <w:rPr>
          <w:rFonts w:eastAsia="Arial"/>
          <w:lang w:eastAsia="en-US"/>
        </w:rPr>
        <w:t>Alicante</w:t>
      </w:r>
      <w:proofErr w:type="spellEnd"/>
      <w:r w:rsidRPr="002775A6">
        <w:rPr>
          <w:rFonts w:eastAsia="Arial"/>
          <w:lang w:eastAsia="en-US"/>
        </w:rPr>
        <w:t xml:space="preserve">) </w:t>
      </w:r>
      <w:proofErr w:type="spellStart"/>
      <w:r w:rsidRPr="002775A6">
        <w:rPr>
          <w:rFonts w:eastAsia="Arial"/>
          <w:lang w:eastAsia="en-US"/>
        </w:rPr>
        <w:t>Phone</w:t>
      </w:r>
      <w:proofErr w:type="spellEnd"/>
      <w:r w:rsidRPr="002775A6">
        <w:rPr>
          <w:rFonts w:eastAsia="Arial"/>
          <w:lang w:eastAsia="en-US"/>
        </w:rPr>
        <w:t xml:space="preserve">: +34-965429901 </w:t>
      </w:r>
      <w:proofErr w:type="spellStart"/>
      <w:r w:rsidRPr="002775A6">
        <w:rPr>
          <w:rFonts w:eastAsia="Arial"/>
          <w:lang w:eastAsia="en-US"/>
        </w:rPr>
        <w:t>Web</w:t>
      </w:r>
      <w:proofErr w:type="spellEnd"/>
      <w:r w:rsidRPr="002775A6">
        <w:rPr>
          <w:rFonts w:eastAsia="Arial"/>
          <w:lang w:eastAsia="en-US"/>
        </w:rPr>
        <w:t>: www.geneticpcr.com e-</w:t>
      </w:r>
      <w:proofErr w:type="spellStart"/>
      <w:r w:rsidRPr="002775A6">
        <w:rPr>
          <w:rFonts w:eastAsia="Arial"/>
          <w:lang w:eastAsia="en-US"/>
        </w:rPr>
        <w:t>mail</w:t>
      </w:r>
      <w:proofErr w:type="spellEnd"/>
      <w:r w:rsidRPr="002775A6">
        <w:rPr>
          <w:rFonts w:eastAsia="Arial"/>
          <w:lang w:eastAsia="en-US"/>
        </w:rPr>
        <w:t xml:space="preserve">: </w:t>
      </w:r>
      <w:hyperlink r:id="rId8" w:history="1">
        <w:r w:rsidRPr="002775A6">
          <w:rPr>
            <w:rStyle w:val="a9"/>
            <w:rFonts w:eastAsia="Arial"/>
            <w:color w:val="auto"/>
            <w:u w:val="none"/>
            <w:lang w:eastAsia="en-US"/>
          </w:rPr>
          <w:t>info@geneticpcr.com</w:t>
        </w:r>
      </w:hyperlink>
      <w:r w:rsidRPr="002775A6">
        <w:rPr>
          <w:rFonts w:eastAsia="Arial"/>
          <w:lang w:eastAsia="en-US"/>
        </w:rPr>
        <w:t>)</w:t>
      </w:r>
    </w:p>
    <w:p w:rsidR="00D66B08" w:rsidRPr="002775A6" w:rsidRDefault="00D66B08" w:rsidP="00942AFF">
      <w:pPr>
        <w:ind w:right="-1"/>
        <w:jc w:val="both"/>
        <w:rPr>
          <w:b/>
        </w:rPr>
      </w:pPr>
      <w:r w:rsidRPr="002775A6">
        <w:rPr>
          <w:b/>
        </w:rPr>
        <w:t xml:space="preserve">5.8. Дози і способи введення тваринам різного віку </w:t>
      </w:r>
    </w:p>
    <w:p w:rsidR="000F51BA" w:rsidRPr="002775A6" w:rsidRDefault="000F51BA" w:rsidP="007E3E2A">
      <w:pPr>
        <w:pStyle w:val="ac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75A6">
        <w:rPr>
          <w:rFonts w:ascii="Times New Roman" w:hAnsi="Times New Roman" w:cs="Times New Roman"/>
          <w:sz w:val="24"/>
          <w:szCs w:val="24"/>
          <w:lang w:val="uk-UA"/>
        </w:rPr>
        <w:t xml:space="preserve">Для перорального застосування після </w:t>
      </w:r>
      <w:proofErr w:type="spellStart"/>
      <w:r w:rsidRPr="002775A6">
        <w:rPr>
          <w:rFonts w:ascii="Times New Roman" w:hAnsi="Times New Roman" w:cs="Times New Roman"/>
          <w:sz w:val="24"/>
          <w:szCs w:val="24"/>
          <w:lang w:val="uk-UA"/>
        </w:rPr>
        <w:t>ресуспендування</w:t>
      </w:r>
      <w:proofErr w:type="spellEnd"/>
      <w:r w:rsidRPr="002775A6">
        <w:rPr>
          <w:rFonts w:ascii="Times New Roman" w:hAnsi="Times New Roman" w:cs="Times New Roman"/>
          <w:sz w:val="24"/>
          <w:szCs w:val="24"/>
          <w:lang w:val="uk-UA"/>
        </w:rPr>
        <w:t xml:space="preserve"> у питній воді.</w:t>
      </w:r>
      <w:r w:rsidR="00EC0804" w:rsidRPr="002775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C0804" w:rsidRPr="002775A6">
        <w:rPr>
          <w:lang w:val="uk-UA"/>
        </w:rPr>
        <w:t>Р</w:t>
      </w:r>
      <w:r w:rsidRPr="002775A6">
        <w:rPr>
          <w:rFonts w:ascii="Times New Roman" w:hAnsi="Times New Roman" w:cs="Times New Roman"/>
          <w:sz w:val="24"/>
          <w:szCs w:val="24"/>
          <w:lang w:val="uk-UA"/>
        </w:rPr>
        <w:t>екомендована схема вакцинації:</w:t>
      </w:r>
    </w:p>
    <w:p w:rsidR="000F51BA" w:rsidRPr="002775A6" w:rsidRDefault="0074386C" w:rsidP="007E3E2A">
      <w:pPr>
        <w:pStyle w:val="ac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75A6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F06231" w:rsidRPr="002775A6">
        <w:rPr>
          <w:rFonts w:ascii="Times New Roman" w:hAnsi="Times New Roman" w:cs="Times New Roman"/>
          <w:sz w:val="24"/>
          <w:szCs w:val="24"/>
          <w:lang w:val="uk-UA"/>
        </w:rPr>
        <w:t>ерша</w:t>
      </w:r>
      <w:r w:rsidR="000F51BA" w:rsidRPr="002775A6">
        <w:rPr>
          <w:rFonts w:ascii="Times New Roman" w:hAnsi="Times New Roman" w:cs="Times New Roman"/>
          <w:sz w:val="24"/>
          <w:szCs w:val="24"/>
          <w:lang w:val="uk-UA"/>
        </w:rPr>
        <w:t xml:space="preserve"> доза з одно</w:t>
      </w:r>
      <w:r w:rsidR="00F06231" w:rsidRPr="002775A6">
        <w:rPr>
          <w:rFonts w:ascii="Times New Roman" w:hAnsi="Times New Roman" w:cs="Times New Roman"/>
          <w:sz w:val="24"/>
          <w:szCs w:val="24"/>
          <w:lang w:val="uk-UA"/>
        </w:rPr>
        <w:t>денного віку</w:t>
      </w:r>
      <w:r w:rsidR="000F51BA" w:rsidRPr="002775A6">
        <w:rPr>
          <w:rFonts w:ascii="Times New Roman" w:hAnsi="Times New Roman" w:cs="Times New Roman"/>
          <w:sz w:val="24"/>
          <w:szCs w:val="24"/>
          <w:lang w:val="uk-UA"/>
        </w:rPr>
        <w:t>, потім друга вакцинація у віці від 6 до 8 тижнів і третя вакцинація у віці 14-18 тижнів, але не менше ніж за 4 тижні до початку періоду несучості.</w:t>
      </w:r>
    </w:p>
    <w:p w:rsidR="000F51BA" w:rsidRPr="002775A6" w:rsidRDefault="000F51BA" w:rsidP="007E3E2A">
      <w:pPr>
        <w:pStyle w:val="ac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75A6">
        <w:rPr>
          <w:rFonts w:ascii="Times New Roman" w:hAnsi="Times New Roman" w:cs="Times New Roman"/>
          <w:sz w:val="24"/>
          <w:szCs w:val="24"/>
          <w:lang w:val="uk-UA"/>
        </w:rPr>
        <w:t>Поради щодо правильного введення через питну воду:</w:t>
      </w:r>
    </w:p>
    <w:p w:rsidR="000F51BA" w:rsidRPr="002775A6" w:rsidRDefault="000F51BA" w:rsidP="007E3E2A">
      <w:pPr>
        <w:pStyle w:val="ac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75A6">
        <w:rPr>
          <w:rFonts w:ascii="Times New Roman" w:hAnsi="Times New Roman" w:cs="Times New Roman"/>
          <w:sz w:val="24"/>
          <w:szCs w:val="24"/>
          <w:lang w:val="uk-UA"/>
        </w:rPr>
        <w:t>Переконайтеся, що всі труби, ніпелі, годівниці, поїлки тощо ретельно очищені і не містять жодних слідів дезінфікуючих засобів, миючих засобів, мила тощо. Використовуйте лише холодну, чисту та свіжу питну воду, без хлору та іонів металів.</w:t>
      </w:r>
    </w:p>
    <w:p w:rsidR="000F51BA" w:rsidRPr="002775A6" w:rsidRDefault="00F41FBA" w:rsidP="007E3E2A">
      <w:pPr>
        <w:pStyle w:val="ac"/>
        <w:spacing w:before="115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75A6">
        <w:rPr>
          <w:rFonts w:ascii="Times New Roman" w:hAnsi="Times New Roman" w:cs="Times New Roman"/>
          <w:sz w:val="24"/>
          <w:szCs w:val="24"/>
          <w:lang w:val="uk-UA"/>
        </w:rPr>
        <w:t xml:space="preserve">Змішуємо вакцину з розрахунку 1000 доз вакцини на 1000 голів курей. </w:t>
      </w:r>
      <w:r w:rsidR="000F51BA" w:rsidRPr="002775A6">
        <w:rPr>
          <w:rFonts w:ascii="Times New Roman" w:hAnsi="Times New Roman" w:cs="Times New Roman"/>
          <w:sz w:val="24"/>
          <w:szCs w:val="24"/>
          <w:lang w:val="uk-UA"/>
        </w:rPr>
        <w:t>Відкрийте флакон з вакциною під водою і ретельно розчиніть її в 1-літровій посудині, наповненій наполовину, і добре розмішайте, перш ніж змішувати розчин з іншою кількістю води. Оскільки концентрована вакцина злегка в'язка, слід подбати про те, щоб повністю спорожнити флакон і його верхню частину, промивши їх у воді. Потім додайте воду до об'єму 1 літр в тій самій посудині. На кожному етапі вакцину необхідно ретельно перемішувати протягом декількох хвилин. Не розділяйте великі флакони для використання в більш ніж 1 пташнику або системі напування, оскільки це призводить до помилок у дозуванні.</w:t>
      </w:r>
      <w:r w:rsidR="00743001" w:rsidRPr="002775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41FBA" w:rsidRPr="002775A6" w:rsidRDefault="00F41FBA" w:rsidP="007E3E2A">
      <w:pPr>
        <w:pStyle w:val="ac"/>
        <w:ind w:right="-1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F0C2A" w:rsidRPr="002775A6" w:rsidRDefault="000F0C2A" w:rsidP="007E3E2A">
      <w:pPr>
        <w:pStyle w:val="ac"/>
        <w:ind w:right="-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775A6">
        <w:rPr>
          <w:rFonts w:ascii="Times New Roman" w:hAnsi="Times New Roman" w:cs="Times New Roman"/>
          <w:sz w:val="24"/>
          <w:szCs w:val="24"/>
          <w:lang w:val="uk-UA"/>
        </w:rPr>
        <w:t>Продовження додатку  №1</w:t>
      </w:r>
    </w:p>
    <w:p w:rsidR="000F0C2A" w:rsidRPr="002775A6" w:rsidRDefault="000F0C2A" w:rsidP="007E3E2A">
      <w:pPr>
        <w:pStyle w:val="ac"/>
        <w:ind w:right="-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775A6">
        <w:rPr>
          <w:rFonts w:ascii="Times New Roman" w:hAnsi="Times New Roman" w:cs="Times New Roman"/>
          <w:sz w:val="24"/>
          <w:szCs w:val="24"/>
          <w:lang w:val="uk-UA"/>
        </w:rPr>
        <w:t>до реєстраційного посвідчення</w:t>
      </w:r>
    </w:p>
    <w:p w:rsidR="000F0C2A" w:rsidRPr="002775A6" w:rsidRDefault="000F0C2A" w:rsidP="007E3E2A">
      <w:pPr>
        <w:pStyle w:val="ac"/>
        <w:ind w:right="-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775A6">
        <w:rPr>
          <w:rFonts w:ascii="Times New Roman" w:hAnsi="Times New Roman" w:cs="Times New Roman"/>
          <w:sz w:val="24"/>
          <w:szCs w:val="24"/>
          <w:lang w:val="uk-UA"/>
        </w:rPr>
        <w:t>№</w:t>
      </w:r>
    </w:p>
    <w:p w:rsidR="000F0C2A" w:rsidRPr="002775A6" w:rsidRDefault="000F0C2A" w:rsidP="007E3E2A">
      <w:pPr>
        <w:pStyle w:val="ac"/>
        <w:ind w:right="-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775A6">
        <w:rPr>
          <w:rFonts w:ascii="Times New Roman" w:hAnsi="Times New Roman" w:cs="Times New Roman"/>
          <w:sz w:val="24"/>
          <w:szCs w:val="24"/>
          <w:lang w:val="uk-UA"/>
        </w:rPr>
        <w:t>Від</w:t>
      </w:r>
    </w:p>
    <w:p w:rsidR="00750502" w:rsidRPr="002775A6" w:rsidRDefault="00750502" w:rsidP="007E3E2A">
      <w:pPr>
        <w:pStyle w:val="ac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0C2A" w:rsidRPr="002775A6" w:rsidRDefault="00750502" w:rsidP="007E3E2A">
      <w:pPr>
        <w:pStyle w:val="ac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75A6">
        <w:rPr>
          <w:rFonts w:ascii="Times New Roman" w:hAnsi="Times New Roman" w:cs="Times New Roman"/>
          <w:sz w:val="24"/>
          <w:szCs w:val="24"/>
          <w:lang w:val="uk-UA"/>
        </w:rPr>
        <w:t xml:space="preserve">Як орієнтир, додайте відновлену вакцину до холодної та свіжої води з розрахунку 1 літр питної води на 1 000 1-денних курчат, 25-35 літрів води на 1 000 6-8- тижневих птахів та </w:t>
      </w:r>
      <w:r w:rsidR="007E3E2A" w:rsidRPr="002775A6">
        <w:rPr>
          <w:rFonts w:ascii="Times New Roman" w:hAnsi="Times New Roman" w:cs="Times New Roman"/>
          <w:sz w:val="24"/>
          <w:szCs w:val="24"/>
          <w:lang w:val="uk-UA"/>
        </w:rPr>
        <w:t xml:space="preserve">35-40 літрів води на 1 000 14-18- тижневих птахів. Для точного визначення потрібної </w:t>
      </w:r>
      <w:r w:rsidR="00480D75" w:rsidRPr="002775A6">
        <w:rPr>
          <w:rFonts w:ascii="Times New Roman" w:hAnsi="Times New Roman" w:cs="Times New Roman"/>
          <w:sz w:val="24"/>
          <w:szCs w:val="24"/>
          <w:lang w:val="uk-UA"/>
        </w:rPr>
        <w:t>кількості води в кожному конкретному випадку використовуйте показники лічильника води за попередній день.</w:t>
      </w:r>
    </w:p>
    <w:p w:rsidR="000F51BA" w:rsidRPr="002775A6" w:rsidRDefault="000F51BA" w:rsidP="007E3E2A">
      <w:pPr>
        <w:pStyle w:val="ac"/>
        <w:spacing w:before="115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75A6">
        <w:rPr>
          <w:rFonts w:ascii="Times New Roman" w:hAnsi="Times New Roman" w:cs="Times New Roman"/>
          <w:sz w:val="24"/>
          <w:szCs w:val="24"/>
          <w:lang w:val="uk-UA"/>
        </w:rPr>
        <w:t xml:space="preserve">Для підвищення стабільності вакцини рекомендується додавати у воду знежирене сухе молоко (тобто &lt;1 </w:t>
      </w:r>
      <w:r w:rsidR="0009034D" w:rsidRPr="002775A6">
        <w:rPr>
          <w:rFonts w:ascii="Times New Roman" w:hAnsi="Times New Roman" w:cs="Times New Roman"/>
          <w:sz w:val="24"/>
          <w:szCs w:val="24"/>
          <w:lang w:val="uk-UA"/>
        </w:rPr>
        <w:t xml:space="preserve">% жиру) (2-4 грами на літр), </w:t>
      </w:r>
      <w:r w:rsidRPr="002775A6">
        <w:rPr>
          <w:rFonts w:ascii="Times New Roman" w:hAnsi="Times New Roman" w:cs="Times New Roman"/>
          <w:sz w:val="24"/>
          <w:szCs w:val="24"/>
          <w:lang w:val="uk-UA"/>
        </w:rPr>
        <w:t>знежирене молоко (20-40 мл на літр води)</w:t>
      </w:r>
      <w:r w:rsidR="009B162A" w:rsidRPr="002775A6">
        <w:rPr>
          <w:rFonts w:ascii="Times New Roman" w:hAnsi="Times New Roman" w:cs="Times New Roman"/>
          <w:sz w:val="24"/>
          <w:szCs w:val="24"/>
          <w:lang w:val="uk-UA"/>
        </w:rPr>
        <w:t xml:space="preserve"> або спеціалізовані стабілізатори для вакцинних розчинів</w:t>
      </w:r>
      <w:r w:rsidRPr="002775A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F51BA" w:rsidRPr="002775A6" w:rsidRDefault="000F51BA" w:rsidP="007E3E2A">
      <w:pPr>
        <w:pStyle w:val="ac"/>
        <w:spacing w:before="112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75A6">
        <w:rPr>
          <w:rFonts w:ascii="Times New Roman" w:hAnsi="Times New Roman" w:cs="Times New Roman"/>
          <w:sz w:val="24"/>
          <w:szCs w:val="24"/>
          <w:lang w:val="uk-UA"/>
        </w:rPr>
        <w:t xml:space="preserve">Готовий до використання розчин вакцини слід випоїти </w:t>
      </w:r>
      <w:r w:rsidR="009B162A" w:rsidRPr="002775A6">
        <w:rPr>
          <w:rFonts w:ascii="Times New Roman" w:hAnsi="Times New Roman" w:cs="Times New Roman"/>
          <w:sz w:val="24"/>
          <w:szCs w:val="24"/>
          <w:lang w:val="uk-UA"/>
        </w:rPr>
        <w:t>впродовж</w:t>
      </w:r>
      <w:r w:rsidRPr="002775A6">
        <w:rPr>
          <w:rFonts w:ascii="Times New Roman" w:hAnsi="Times New Roman" w:cs="Times New Roman"/>
          <w:sz w:val="24"/>
          <w:szCs w:val="24"/>
          <w:lang w:val="uk-UA"/>
        </w:rPr>
        <w:t xml:space="preserve"> 3 годин. </w:t>
      </w:r>
      <w:r w:rsidR="00750502" w:rsidRPr="002775A6">
        <w:rPr>
          <w:rFonts w:ascii="Times New Roman" w:hAnsi="Times New Roman" w:cs="Times New Roman"/>
          <w:sz w:val="24"/>
          <w:szCs w:val="24"/>
          <w:lang w:val="uk-UA"/>
        </w:rPr>
        <w:t xml:space="preserve">Потрібно переконатися, що всі птахи п'ють протягом цього періоду. </w:t>
      </w:r>
      <w:r w:rsidRPr="002775A6">
        <w:rPr>
          <w:rFonts w:ascii="Times New Roman" w:hAnsi="Times New Roman" w:cs="Times New Roman"/>
          <w:sz w:val="24"/>
          <w:szCs w:val="24"/>
          <w:lang w:val="uk-UA"/>
        </w:rPr>
        <w:t>Поведінка птиці під час напування може бути різною. Мета полягає в тому, щоб ввести кожній птиці одну дозу вакцини. Для цього може знадобитися період спраги до 2-3 годин, залежно від фактичних кліматичних умов перед вакцинацією.</w:t>
      </w:r>
    </w:p>
    <w:p w:rsidR="00804F4E" w:rsidRPr="002775A6" w:rsidRDefault="00804F4E" w:rsidP="007E3E2A">
      <w:pPr>
        <w:tabs>
          <w:tab w:val="left" w:pos="720"/>
        </w:tabs>
        <w:ind w:right="-1"/>
        <w:jc w:val="both"/>
        <w:rPr>
          <w:b/>
        </w:rPr>
      </w:pPr>
      <w:r w:rsidRPr="002775A6">
        <w:rPr>
          <w:b/>
        </w:rPr>
        <w:t>5.9. Передозування (симптоми, невідкладні заходи, антидоти)</w:t>
      </w:r>
    </w:p>
    <w:p w:rsidR="000F51BA" w:rsidRPr="002775A6" w:rsidRDefault="000F51BA" w:rsidP="007E3E2A">
      <w:pPr>
        <w:tabs>
          <w:tab w:val="left" w:pos="720"/>
        </w:tabs>
        <w:ind w:right="-1"/>
        <w:jc w:val="both"/>
        <w:rPr>
          <w:bCs/>
        </w:rPr>
      </w:pPr>
      <w:r w:rsidRPr="002775A6">
        <w:rPr>
          <w:bCs/>
        </w:rPr>
        <w:t xml:space="preserve">Після введення 10-кратної дози побічних реакцій не виявлено. </w:t>
      </w:r>
    </w:p>
    <w:p w:rsidR="00804F4E" w:rsidRPr="002775A6" w:rsidRDefault="00804F4E" w:rsidP="007E3E2A">
      <w:pPr>
        <w:tabs>
          <w:tab w:val="left" w:pos="720"/>
        </w:tabs>
        <w:ind w:right="-1"/>
        <w:jc w:val="both"/>
        <w:rPr>
          <w:bCs/>
        </w:rPr>
      </w:pPr>
      <w:r w:rsidRPr="002775A6">
        <w:rPr>
          <w:b/>
        </w:rPr>
        <w:t xml:space="preserve">5.10. Спеціальні застереження </w:t>
      </w:r>
    </w:p>
    <w:p w:rsidR="00AB2DA5" w:rsidRPr="002775A6" w:rsidRDefault="00AB2DA5" w:rsidP="007E3E2A">
      <w:pPr>
        <w:ind w:right="-1"/>
        <w:jc w:val="both"/>
      </w:pPr>
      <w:r w:rsidRPr="002775A6">
        <w:t>Вакцинувати тільки здорову птицю.</w:t>
      </w:r>
    </w:p>
    <w:p w:rsidR="00183288" w:rsidRPr="002775A6" w:rsidRDefault="00183288" w:rsidP="007E3E2A">
      <w:pPr>
        <w:ind w:right="-1"/>
        <w:jc w:val="both"/>
        <w:rPr>
          <w:b/>
        </w:rPr>
      </w:pPr>
      <w:r w:rsidRPr="002775A6">
        <w:rPr>
          <w:b/>
        </w:rPr>
        <w:t>5.11. Період виведення (</w:t>
      </w:r>
      <w:proofErr w:type="spellStart"/>
      <w:r w:rsidRPr="002775A6">
        <w:rPr>
          <w:b/>
        </w:rPr>
        <w:t>каренції</w:t>
      </w:r>
      <w:proofErr w:type="spellEnd"/>
      <w:r w:rsidRPr="002775A6">
        <w:rPr>
          <w:b/>
        </w:rPr>
        <w:t>)</w:t>
      </w:r>
    </w:p>
    <w:p w:rsidR="00183288" w:rsidRPr="002775A6" w:rsidRDefault="00183288" w:rsidP="007E3E2A">
      <w:pPr>
        <w:ind w:right="-1"/>
        <w:jc w:val="both"/>
      </w:pPr>
      <w:r w:rsidRPr="002775A6">
        <w:t>М'ясо та субпродукти: 28 днів після першої та другої вакцинації та 14 днів після третьої вакцинації.</w:t>
      </w:r>
    </w:p>
    <w:p w:rsidR="00581E39" w:rsidRPr="002775A6" w:rsidRDefault="00581E39" w:rsidP="007E3E2A">
      <w:pPr>
        <w:tabs>
          <w:tab w:val="left" w:pos="720"/>
        </w:tabs>
        <w:ind w:right="-1"/>
        <w:jc w:val="both"/>
        <w:rPr>
          <w:b/>
        </w:rPr>
      </w:pPr>
      <w:r w:rsidRPr="002775A6">
        <w:rPr>
          <w:b/>
        </w:rPr>
        <w:t>5.12. Спеціальні застереження для осіб і обслуговуючого персоналу, які вводять засоби захисту птиці</w:t>
      </w:r>
    </w:p>
    <w:p w:rsidR="001212BC" w:rsidRPr="002775A6" w:rsidRDefault="001212BC" w:rsidP="007E3E2A">
      <w:pPr>
        <w:ind w:right="-1"/>
        <w:jc w:val="both"/>
      </w:pPr>
      <w:r w:rsidRPr="002775A6">
        <w:t>При роботі з ветеринарним препаратом слід використовувати засоби індивідуального захисту - рукавички.</w:t>
      </w:r>
    </w:p>
    <w:p w:rsidR="001212BC" w:rsidRPr="002775A6" w:rsidRDefault="001212BC" w:rsidP="007E3E2A">
      <w:pPr>
        <w:ind w:right="-1"/>
        <w:jc w:val="both"/>
      </w:pPr>
      <w:r w:rsidRPr="002775A6">
        <w:t>Для уникнення утворення аерозолів відкривайте флакони з вакциною під водою. Після роботи з вакциною дезінфікувати та мити руки. Не вживати всередину.</w:t>
      </w:r>
    </w:p>
    <w:p w:rsidR="001212BC" w:rsidRPr="002775A6" w:rsidRDefault="001212BC" w:rsidP="007E3E2A">
      <w:pPr>
        <w:ind w:right="-1"/>
        <w:jc w:val="both"/>
      </w:pPr>
      <w:r w:rsidRPr="002775A6">
        <w:t>У разі випадкового проковтування негайно зверніться до лікаря та покажіть йому листівку-вкладку або етикетку.</w:t>
      </w:r>
    </w:p>
    <w:p w:rsidR="0009034D" w:rsidRPr="002775A6" w:rsidRDefault="001212BC" w:rsidP="007E3E2A">
      <w:pPr>
        <w:pStyle w:val="ac"/>
        <w:spacing w:before="111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75A6">
        <w:rPr>
          <w:rFonts w:ascii="Times New Roman" w:hAnsi="Times New Roman" w:cs="Times New Roman"/>
          <w:sz w:val="24"/>
          <w:szCs w:val="24"/>
          <w:lang w:val="uk-UA"/>
        </w:rPr>
        <w:t xml:space="preserve">Вакцинний штам може знаходитись у навколишньому середовищі до 28 днів. </w:t>
      </w:r>
      <w:r w:rsidR="0009034D" w:rsidRPr="002775A6">
        <w:rPr>
          <w:rFonts w:ascii="Times New Roman" w:hAnsi="Times New Roman" w:cs="Times New Roman"/>
          <w:sz w:val="24"/>
          <w:szCs w:val="24"/>
          <w:lang w:val="uk-UA"/>
        </w:rPr>
        <w:t xml:space="preserve"> Впродовж цього часу слід уникати контакту курей з ослабленим імунітетом та невакцинованих курей з вакцинованими.</w:t>
      </w:r>
    </w:p>
    <w:p w:rsidR="0009034D" w:rsidRPr="002775A6" w:rsidRDefault="0009034D" w:rsidP="007E3E2A">
      <w:pPr>
        <w:pStyle w:val="ac"/>
        <w:spacing w:before="111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75A6">
        <w:rPr>
          <w:rFonts w:ascii="Times New Roman" w:hAnsi="Times New Roman" w:cs="Times New Roman"/>
          <w:sz w:val="24"/>
          <w:szCs w:val="24"/>
          <w:lang w:val="uk-UA"/>
        </w:rPr>
        <w:t>Необхідно вжити відповідних ветеринарних та агротехнічних заходів, щоб уникнути поширення вакцинного штаму на сприйнятливі види. Необхідно розробити ефективну програму боротьби з гризунами, оскільки інфіковані миші також можуть поширювати вакцинний штам.</w:t>
      </w:r>
    </w:p>
    <w:p w:rsidR="001212BC" w:rsidRPr="002775A6" w:rsidRDefault="001212BC" w:rsidP="007E3E2A">
      <w:pPr>
        <w:ind w:right="-1"/>
        <w:jc w:val="both"/>
      </w:pPr>
      <w:r w:rsidRPr="002775A6">
        <w:t>Персонал, який обслуговує вакцинованих курей, повинен дотримуватися загальних принципів гігієни (змінювати одяг, носити рукавички, чистити та дезінфікувати взуття) та бути особливо обережним у поводженні з відходами життєдіяльності тварин та підстилковим матеріалом від нещодавно вакцинованих курей.</w:t>
      </w:r>
    </w:p>
    <w:p w:rsidR="001212BC" w:rsidRPr="002775A6" w:rsidRDefault="001212BC" w:rsidP="007E3E2A">
      <w:pPr>
        <w:ind w:right="-1"/>
        <w:jc w:val="both"/>
      </w:pPr>
      <w:r w:rsidRPr="002775A6">
        <w:t xml:space="preserve">Особам з </w:t>
      </w:r>
      <w:r w:rsidR="00E0523E" w:rsidRPr="002775A6">
        <w:t xml:space="preserve">ослабленим імунітетом </w:t>
      </w:r>
      <w:r w:rsidRPr="002775A6">
        <w:t>рекомендується уникати контакту з вакциною та вакцинованими тваринами впродовж 28 днів після щеплення.</w:t>
      </w:r>
    </w:p>
    <w:p w:rsidR="001212BC" w:rsidRPr="002775A6" w:rsidRDefault="001212BC" w:rsidP="007E3E2A">
      <w:pPr>
        <w:ind w:right="-1"/>
        <w:jc w:val="both"/>
      </w:pPr>
      <w:r w:rsidRPr="002775A6">
        <w:t>Ветеринарний препарат не слід застосовувати вагітним жінкам.</w:t>
      </w:r>
    </w:p>
    <w:p w:rsidR="00942188" w:rsidRPr="002775A6" w:rsidRDefault="00942188" w:rsidP="007E3E2A">
      <w:pPr>
        <w:ind w:right="-1"/>
        <w:jc w:val="both"/>
        <w:rPr>
          <w:b/>
        </w:rPr>
      </w:pPr>
      <w:r w:rsidRPr="002775A6">
        <w:rPr>
          <w:b/>
        </w:rPr>
        <w:t>6. Фармацевтичні особливості</w:t>
      </w:r>
    </w:p>
    <w:p w:rsidR="00942188" w:rsidRPr="002775A6" w:rsidRDefault="00942188" w:rsidP="007E3E2A">
      <w:pPr>
        <w:ind w:right="-1"/>
        <w:jc w:val="both"/>
        <w:rPr>
          <w:b/>
        </w:rPr>
      </w:pPr>
      <w:r w:rsidRPr="002775A6">
        <w:rPr>
          <w:b/>
        </w:rPr>
        <w:t>6.1. Основні форми несумісності</w:t>
      </w:r>
    </w:p>
    <w:p w:rsidR="000F0C2A" w:rsidRPr="002775A6" w:rsidRDefault="000F0C2A" w:rsidP="007E3E2A">
      <w:pPr>
        <w:ind w:right="-1"/>
        <w:jc w:val="right"/>
      </w:pPr>
      <w:r w:rsidRPr="002775A6">
        <w:lastRenderedPageBreak/>
        <w:t>Продовження додатку  №1</w:t>
      </w:r>
    </w:p>
    <w:p w:rsidR="000F0C2A" w:rsidRPr="002775A6" w:rsidRDefault="000F0C2A" w:rsidP="007E3E2A">
      <w:pPr>
        <w:ind w:right="-1"/>
        <w:jc w:val="right"/>
      </w:pPr>
      <w:r w:rsidRPr="002775A6">
        <w:t>до реєстраційного посвідчення</w:t>
      </w:r>
    </w:p>
    <w:p w:rsidR="000F0C2A" w:rsidRPr="002775A6" w:rsidRDefault="000F0C2A" w:rsidP="007E3E2A">
      <w:pPr>
        <w:ind w:right="-1"/>
        <w:jc w:val="right"/>
      </w:pPr>
      <w:r w:rsidRPr="002775A6">
        <w:t>№</w:t>
      </w:r>
    </w:p>
    <w:p w:rsidR="000F0C2A" w:rsidRPr="002775A6" w:rsidRDefault="000F0C2A" w:rsidP="007E3E2A">
      <w:pPr>
        <w:ind w:right="-1"/>
        <w:jc w:val="right"/>
      </w:pPr>
      <w:r w:rsidRPr="002775A6">
        <w:t>Від</w:t>
      </w:r>
    </w:p>
    <w:p w:rsidR="00750502" w:rsidRPr="002775A6" w:rsidRDefault="00750502" w:rsidP="007E3E2A">
      <w:pPr>
        <w:ind w:right="-1"/>
        <w:jc w:val="both"/>
      </w:pPr>
    </w:p>
    <w:p w:rsidR="00750502" w:rsidRPr="002775A6" w:rsidRDefault="00750502" w:rsidP="00750502">
      <w:pPr>
        <w:ind w:right="-1"/>
        <w:jc w:val="both"/>
      </w:pPr>
      <w:r w:rsidRPr="002775A6">
        <w:t>Не змішувати з іншими ветеринарними засобами. Дослідження, проведені з комбінованим складом вакцини проти сальмонельозу PRIMUN SALMONELLA E +PRIMUN SALMONELLA T, свідчать про відсутність негативних взаємодій.</w:t>
      </w:r>
    </w:p>
    <w:p w:rsidR="00750502" w:rsidRPr="002775A6" w:rsidRDefault="00750502" w:rsidP="00750502">
      <w:pPr>
        <w:ind w:right="-1"/>
        <w:jc w:val="both"/>
        <w:rPr>
          <w:b/>
        </w:rPr>
      </w:pPr>
      <w:r w:rsidRPr="002775A6">
        <w:rPr>
          <w:b/>
        </w:rPr>
        <w:t>6.2. Термін придатності</w:t>
      </w:r>
    </w:p>
    <w:p w:rsidR="00750502" w:rsidRPr="002775A6" w:rsidRDefault="00750502" w:rsidP="00750502">
      <w:pPr>
        <w:ind w:right="-1"/>
        <w:jc w:val="both"/>
      </w:pPr>
      <w:r w:rsidRPr="002775A6">
        <w:t>Термін придатності ветеринарного препарату в упаковці для реалізації: 2 роки.</w:t>
      </w:r>
    </w:p>
    <w:p w:rsidR="00480D75" w:rsidRPr="002775A6" w:rsidRDefault="00480D75" w:rsidP="007E3E2A">
      <w:pPr>
        <w:ind w:right="-1"/>
        <w:jc w:val="both"/>
      </w:pPr>
      <w:r w:rsidRPr="002775A6">
        <w:t>Термін придатності після відновлення згідно з інструкцією: 3 години.</w:t>
      </w:r>
    </w:p>
    <w:p w:rsidR="000F0C2A" w:rsidRPr="002775A6" w:rsidRDefault="000F0C2A" w:rsidP="007E3E2A">
      <w:pPr>
        <w:ind w:right="-1"/>
        <w:jc w:val="both"/>
        <w:rPr>
          <w:b/>
        </w:rPr>
      </w:pPr>
      <w:r w:rsidRPr="002775A6">
        <w:rPr>
          <w:b/>
        </w:rPr>
        <w:t>6.3. Особливі застереження щодо зберігання</w:t>
      </w:r>
    </w:p>
    <w:p w:rsidR="00942188" w:rsidRPr="002775A6" w:rsidRDefault="00183288" w:rsidP="007E3E2A">
      <w:pPr>
        <w:ind w:right="-1"/>
        <w:jc w:val="both"/>
      </w:pPr>
      <w:r w:rsidRPr="002775A6">
        <w:t xml:space="preserve">Зберігати і транспортувати охолодженим за температури  (2 </w:t>
      </w:r>
      <w:r w:rsidR="009B162A" w:rsidRPr="002775A6">
        <w:t>°</w:t>
      </w:r>
      <w:r w:rsidRPr="002775A6">
        <w:t xml:space="preserve">C – 8 </w:t>
      </w:r>
      <w:r w:rsidR="009B162A" w:rsidRPr="002775A6">
        <w:t>°</w:t>
      </w:r>
      <w:r w:rsidRPr="002775A6">
        <w:t>C). Захищати від світла.</w:t>
      </w:r>
    </w:p>
    <w:p w:rsidR="00D66B08" w:rsidRPr="002775A6" w:rsidRDefault="00D66B08" w:rsidP="007E3E2A">
      <w:pPr>
        <w:ind w:right="-1"/>
        <w:jc w:val="both"/>
        <w:rPr>
          <w:b/>
        </w:rPr>
      </w:pPr>
      <w:r w:rsidRPr="002775A6">
        <w:rPr>
          <w:b/>
        </w:rPr>
        <w:t>6.4. Природа і склад контейнера первинного упакування</w:t>
      </w:r>
    </w:p>
    <w:p w:rsidR="00183288" w:rsidRPr="002775A6" w:rsidRDefault="00183288" w:rsidP="007E3E2A">
      <w:pPr>
        <w:ind w:right="-1"/>
        <w:jc w:val="both"/>
      </w:pPr>
      <w:r w:rsidRPr="002775A6">
        <w:t>По 20 мл у безбарвних флаконах з гідролітичного скла типу I по 1</w:t>
      </w:r>
      <w:r w:rsidR="00467013" w:rsidRPr="002775A6">
        <w:t> </w:t>
      </w:r>
      <w:r w:rsidRPr="002775A6">
        <w:t>000</w:t>
      </w:r>
      <w:r w:rsidR="00467013" w:rsidRPr="002775A6">
        <w:t>,</w:t>
      </w:r>
      <w:r w:rsidRPr="002775A6">
        <w:t xml:space="preserve"> 2 000 доз</w:t>
      </w:r>
      <w:r w:rsidR="00467013" w:rsidRPr="002775A6">
        <w:t xml:space="preserve"> або 4000 доз</w:t>
      </w:r>
      <w:r w:rsidRPr="002775A6">
        <w:t xml:space="preserve">. Флакони закриті пробками з </w:t>
      </w:r>
      <w:proofErr w:type="spellStart"/>
      <w:r w:rsidRPr="002775A6">
        <w:t>бромбутилового</w:t>
      </w:r>
      <w:proofErr w:type="spellEnd"/>
      <w:r w:rsidRPr="002775A6">
        <w:t xml:space="preserve"> каучуку та закупорені алюмінієвими ковпачками.</w:t>
      </w:r>
    </w:p>
    <w:p w:rsidR="00183288" w:rsidRPr="002775A6" w:rsidRDefault="00183288" w:rsidP="007E3E2A">
      <w:pPr>
        <w:ind w:right="-1"/>
        <w:jc w:val="both"/>
      </w:pPr>
      <w:r w:rsidRPr="002775A6">
        <w:t>Розміри пакування:</w:t>
      </w:r>
    </w:p>
    <w:p w:rsidR="00B63547" w:rsidRPr="002775A6" w:rsidRDefault="00B63547" w:rsidP="007E3E2A">
      <w:pPr>
        <w:ind w:right="-1"/>
        <w:jc w:val="both"/>
      </w:pPr>
      <w:r w:rsidRPr="002775A6">
        <w:t>Картонна коробка з 1 флаконом (20 мл) по 1000 доз.</w:t>
      </w:r>
    </w:p>
    <w:p w:rsidR="00B63547" w:rsidRPr="002775A6" w:rsidRDefault="00B63547" w:rsidP="007E3E2A">
      <w:pPr>
        <w:ind w:right="-1"/>
        <w:jc w:val="both"/>
      </w:pPr>
      <w:r w:rsidRPr="002775A6">
        <w:t xml:space="preserve">Картонна коробка з 1 флаконом (20 мл) по 2000 доз. </w:t>
      </w:r>
    </w:p>
    <w:p w:rsidR="00B63547" w:rsidRPr="002775A6" w:rsidRDefault="00B63547" w:rsidP="007E3E2A">
      <w:pPr>
        <w:ind w:right="-1"/>
        <w:jc w:val="both"/>
      </w:pPr>
      <w:r w:rsidRPr="002775A6">
        <w:t>Картонна коробка з 1 флаконом (20 мл) по 4000 доз.</w:t>
      </w:r>
    </w:p>
    <w:p w:rsidR="00B63547" w:rsidRPr="002775A6" w:rsidRDefault="00B63547" w:rsidP="007E3E2A">
      <w:pPr>
        <w:ind w:right="-1"/>
        <w:jc w:val="both"/>
      </w:pPr>
      <w:r w:rsidRPr="002775A6">
        <w:t xml:space="preserve">Картонна коробка з 10 флаконами (20 мл) по 1000 доз. </w:t>
      </w:r>
    </w:p>
    <w:p w:rsidR="00B63547" w:rsidRPr="002775A6" w:rsidRDefault="00B63547" w:rsidP="007E3E2A">
      <w:pPr>
        <w:ind w:right="-1"/>
        <w:jc w:val="both"/>
      </w:pPr>
      <w:r w:rsidRPr="002775A6">
        <w:t xml:space="preserve">Картонна коробка з 10 флаконами (20 мл) по 2000 доз. </w:t>
      </w:r>
    </w:p>
    <w:p w:rsidR="003D60F4" w:rsidRPr="002775A6" w:rsidRDefault="00B63547" w:rsidP="007E3E2A">
      <w:pPr>
        <w:ind w:right="-1"/>
        <w:jc w:val="both"/>
      </w:pPr>
      <w:r w:rsidRPr="002775A6">
        <w:t>Картонна коробка з 10 флаконами (20 мл) по 4000 доз.</w:t>
      </w:r>
    </w:p>
    <w:p w:rsidR="003D60F4" w:rsidRPr="002775A6" w:rsidRDefault="003D60F4" w:rsidP="007E3E2A">
      <w:pPr>
        <w:ind w:right="-1"/>
      </w:pPr>
      <w:r w:rsidRPr="002775A6">
        <w:t>Не усі розміри пакування можуть бути наявні на ринку.</w:t>
      </w:r>
    </w:p>
    <w:p w:rsidR="00CF39E1" w:rsidRPr="002775A6" w:rsidRDefault="00CF39E1" w:rsidP="007E3E2A">
      <w:pPr>
        <w:ind w:right="-1"/>
        <w:jc w:val="both"/>
        <w:rPr>
          <w:b/>
        </w:rPr>
      </w:pPr>
      <w:r w:rsidRPr="002775A6">
        <w:rPr>
          <w:b/>
        </w:rPr>
        <w:t>6.5. Назва та місцезнаходження власника реєстраційного посвідчення</w:t>
      </w:r>
    </w:p>
    <w:p w:rsidR="00CF39E1" w:rsidRPr="002775A6" w:rsidRDefault="00CF39E1" w:rsidP="007E3E2A">
      <w:pPr>
        <w:ind w:right="-1"/>
        <w:jc w:val="both"/>
      </w:pPr>
      <w:proofErr w:type="spellStart"/>
      <w:r w:rsidRPr="002775A6">
        <w:t>Лабораторіос</w:t>
      </w:r>
      <w:proofErr w:type="spellEnd"/>
      <w:r w:rsidRPr="002775A6">
        <w:t xml:space="preserve"> </w:t>
      </w:r>
      <w:proofErr w:type="spellStart"/>
      <w:r w:rsidRPr="002775A6">
        <w:t>Калієр</w:t>
      </w:r>
      <w:proofErr w:type="spellEnd"/>
      <w:r w:rsidRPr="002775A6">
        <w:t xml:space="preserve">,.C.A. c/o </w:t>
      </w:r>
      <w:proofErr w:type="spellStart"/>
      <w:r w:rsidRPr="002775A6">
        <w:t>Барсалунес</w:t>
      </w:r>
      <w:proofErr w:type="spellEnd"/>
      <w:r w:rsidRPr="002775A6">
        <w:t xml:space="preserve"> 26, </w:t>
      </w:r>
      <w:proofErr w:type="spellStart"/>
      <w:r w:rsidRPr="002775A6">
        <w:t>Пла-дель-Рамасса</w:t>
      </w:r>
      <w:proofErr w:type="spellEnd"/>
      <w:r w:rsidRPr="002775A6">
        <w:t xml:space="preserve"> 08520 Лас-</w:t>
      </w:r>
      <w:proofErr w:type="spellStart"/>
      <w:r w:rsidRPr="002775A6">
        <w:t>Франкезас</w:t>
      </w:r>
      <w:proofErr w:type="spellEnd"/>
      <w:r w:rsidRPr="002775A6">
        <w:t>-</w:t>
      </w:r>
      <w:proofErr w:type="spellStart"/>
      <w:r w:rsidRPr="002775A6">
        <w:t>дал-Бальєс</w:t>
      </w:r>
      <w:proofErr w:type="spellEnd"/>
      <w:r w:rsidRPr="002775A6">
        <w:t>, БАРСЕЛОНА, ІСПАНІЯ</w:t>
      </w:r>
    </w:p>
    <w:p w:rsidR="00CF39E1" w:rsidRPr="002775A6" w:rsidRDefault="00CF39E1" w:rsidP="007E3E2A">
      <w:pPr>
        <w:ind w:right="-1"/>
        <w:jc w:val="both"/>
      </w:pPr>
      <w:r w:rsidRPr="002775A6">
        <w:t xml:space="preserve">LABORATORIOS CALIER, S.A. c/o. </w:t>
      </w:r>
      <w:proofErr w:type="spellStart"/>
      <w:r w:rsidRPr="002775A6">
        <w:t>Barcelonés</w:t>
      </w:r>
      <w:proofErr w:type="spellEnd"/>
      <w:r w:rsidRPr="002775A6">
        <w:t xml:space="preserve"> 26, </w:t>
      </w:r>
      <w:proofErr w:type="spellStart"/>
      <w:r w:rsidRPr="002775A6">
        <w:t>Pla</w:t>
      </w:r>
      <w:proofErr w:type="spellEnd"/>
      <w:r w:rsidRPr="002775A6">
        <w:t xml:space="preserve"> </w:t>
      </w:r>
      <w:proofErr w:type="spellStart"/>
      <w:r w:rsidRPr="002775A6">
        <w:t>del</w:t>
      </w:r>
      <w:proofErr w:type="spellEnd"/>
      <w:r w:rsidRPr="002775A6">
        <w:t xml:space="preserve"> </w:t>
      </w:r>
      <w:proofErr w:type="spellStart"/>
      <w:r w:rsidRPr="002775A6">
        <w:t>Ramassà</w:t>
      </w:r>
      <w:proofErr w:type="spellEnd"/>
      <w:r w:rsidRPr="002775A6">
        <w:t xml:space="preserve"> 08520 </w:t>
      </w:r>
      <w:proofErr w:type="spellStart"/>
      <w:r w:rsidRPr="002775A6">
        <w:t>Les</w:t>
      </w:r>
      <w:proofErr w:type="spellEnd"/>
      <w:r w:rsidRPr="002775A6">
        <w:t xml:space="preserve"> </w:t>
      </w:r>
      <w:proofErr w:type="spellStart"/>
      <w:r w:rsidRPr="002775A6">
        <w:t>Franqueses</w:t>
      </w:r>
      <w:proofErr w:type="spellEnd"/>
      <w:r w:rsidRPr="002775A6">
        <w:t xml:space="preserve"> </w:t>
      </w:r>
      <w:proofErr w:type="spellStart"/>
      <w:r w:rsidRPr="002775A6">
        <w:t>del</w:t>
      </w:r>
      <w:proofErr w:type="spellEnd"/>
      <w:r w:rsidRPr="002775A6">
        <w:t xml:space="preserve"> </w:t>
      </w:r>
      <w:proofErr w:type="spellStart"/>
      <w:r w:rsidRPr="002775A6">
        <w:t>Vallès</w:t>
      </w:r>
      <w:proofErr w:type="spellEnd"/>
      <w:r w:rsidRPr="002775A6">
        <w:t xml:space="preserve">, BARCELONA, SPAIN </w:t>
      </w:r>
    </w:p>
    <w:p w:rsidR="00267895" w:rsidRPr="002775A6" w:rsidRDefault="00F67874" w:rsidP="007E3E2A">
      <w:pPr>
        <w:pStyle w:val="ae"/>
        <w:spacing w:before="0" w:beforeAutospacing="0" w:after="0" w:afterAutospacing="0"/>
        <w:ind w:right="-1"/>
        <w:rPr>
          <w:b/>
          <w:lang w:val="uk-UA"/>
        </w:rPr>
      </w:pPr>
      <w:r w:rsidRPr="002775A6">
        <w:rPr>
          <w:b/>
          <w:lang w:val="uk-UA"/>
        </w:rPr>
        <w:t>6.6. Назва та місцезнаходження виробника (виробників)</w:t>
      </w:r>
    </w:p>
    <w:p w:rsidR="00F67874" w:rsidRPr="002775A6" w:rsidRDefault="00F67874" w:rsidP="007E3E2A">
      <w:pPr>
        <w:pStyle w:val="ae"/>
        <w:spacing w:before="0" w:beforeAutospacing="0" w:after="0" w:afterAutospacing="0"/>
        <w:ind w:right="-1"/>
        <w:rPr>
          <w:lang w:val="uk-UA"/>
        </w:rPr>
      </w:pPr>
      <w:proofErr w:type="spellStart"/>
      <w:r w:rsidRPr="002775A6">
        <w:rPr>
          <w:lang w:val="uk-UA"/>
        </w:rPr>
        <w:t>Лабораторіос</w:t>
      </w:r>
      <w:proofErr w:type="spellEnd"/>
      <w:r w:rsidRPr="002775A6">
        <w:rPr>
          <w:lang w:val="uk-UA"/>
        </w:rPr>
        <w:t xml:space="preserve"> </w:t>
      </w:r>
      <w:proofErr w:type="spellStart"/>
      <w:r w:rsidRPr="002775A6">
        <w:rPr>
          <w:lang w:val="uk-UA"/>
        </w:rPr>
        <w:t>Калієр</w:t>
      </w:r>
      <w:proofErr w:type="spellEnd"/>
      <w:r w:rsidRPr="002775A6">
        <w:rPr>
          <w:lang w:val="uk-UA"/>
        </w:rPr>
        <w:t xml:space="preserve">,.C.A. c/o </w:t>
      </w:r>
      <w:proofErr w:type="spellStart"/>
      <w:r w:rsidRPr="002775A6">
        <w:rPr>
          <w:lang w:val="uk-UA"/>
        </w:rPr>
        <w:t>Барсалунес</w:t>
      </w:r>
      <w:proofErr w:type="spellEnd"/>
      <w:r w:rsidRPr="002775A6">
        <w:rPr>
          <w:lang w:val="uk-UA"/>
        </w:rPr>
        <w:t xml:space="preserve"> 26, </w:t>
      </w:r>
      <w:proofErr w:type="spellStart"/>
      <w:r w:rsidRPr="002775A6">
        <w:rPr>
          <w:lang w:val="uk-UA"/>
        </w:rPr>
        <w:t>Пла-дель-Рамасса</w:t>
      </w:r>
      <w:proofErr w:type="spellEnd"/>
      <w:r w:rsidRPr="002775A6">
        <w:rPr>
          <w:lang w:val="uk-UA"/>
        </w:rPr>
        <w:t xml:space="preserve"> 08520 Лас-</w:t>
      </w:r>
      <w:proofErr w:type="spellStart"/>
      <w:r w:rsidRPr="002775A6">
        <w:rPr>
          <w:lang w:val="uk-UA"/>
        </w:rPr>
        <w:t>Франкезас</w:t>
      </w:r>
      <w:proofErr w:type="spellEnd"/>
      <w:r w:rsidRPr="002775A6">
        <w:rPr>
          <w:lang w:val="uk-UA"/>
        </w:rPr>
        <w:t>-</w:t>
      </w:r>
      <w:proofErr w:type="spellStart"/>
      <w:r w:rsidRPr="002775A6">
        <w:rPr>
          <w:lang w:val="uk-UA"/>
        </w:rPr>
        <w:t>дал-Бальєс</w:t>
      </w:r>
      <w:proofErr w:type="spellEnd"/>
      <w:r w:rsidRPr="002775A6">
        <w:rPr>
          <w:lang w:val="uk-UA"/>
        </w:rPr>
        <w:t>, БАРСЕЛОНА, ІСПАНІЯ</w:t>
      </w:r>
    </w:p>
    <w:p w:rsidR="00CF39E1" w:rsidRPr="002775A6" w:rsidRDefault="00CF39E1" w:rsidP="00750502">
      <w:pPr>
        <w:pStyle w:val="ae"/>
        <w:spacing w:before="0" w:beforeAutospacing="0" w:after="0" w:afterAutospacing="0"/>
        <w:ind w:right="-1"/>
        <w:jc w:val="both"/>
        <w:rPr>
          <w:lang w:val="uk-UA"/>
        </w:rPr>
      </w:pPr>
      <w:r w:rsidRPr="002775A6">
        <w:rPr>
          <w:lang w:val="uk-UA"/>
        </w:rPr>
        <w:t xml:space="preserve">LABORATORIOS CALIER, S.A. c/o. </w:t>
      </w:r>
      <w:proofErr w:type="spellStart"/>
      <w:r w:rsidRPr="002775A6">
        <w:rPr>
          <w:lang w:val="uk-UA"/>
        </w:rPr>
        <w:t>Barcelonés</w:t>
      </w:r>
      <w:proofErr w:type="spellEnd"/>
      <w:r w:rsidRPr="002775A6">
        <w:rPr>
          <w:lang w:val="uk-UA"/>
        </w:rPr>
        <w:t xml:space="preserve"> 26, </w:t>
      </w:r>
      <w:proofErr w:type="spellStart"/>
      <w:r w:rsidRPr="002775A6">
        <w:rPr>
          <w:lang w:val="uk-UA"/>
        </w:rPr>
        <w:t>Pla</w:t>
      </w:r>
      <w:proofErr w:type="spellEnd"/>
      <w:r w:rsidRPr="002775A6">
        <w:rPr>
          <w:lang w:val="uk-UA"/>
        </w:rPr>
        <w:t xml:space="preserve"> </w:t>
      </w:r>
      <w:proofErr w:type="spellStart"/>
      <w:r w:rsidRPr="002775A6">
        <w:rPr>
          <w:lang w:val="uk-UA"/>
        </w:rPr>
        <w:t>del</w:t>
      </w:r>
      <w:proofErr w:type="spellEnd"/>
      <w:r w:rsidRPr="002775A6">
        <w:rPr>
          <w:lang w:val="uk-UA"/>
        </w:rPr>
        <w:t xml:space="preserve"> </w:t>
      </w:r>
      <w:proofErr w:type="spellStart"/>
      <w:r w:rsidRPr="002775A6">
        <w:rPr>
          <w:lang w:val="uk-UA"/>
        </w:rPr>
        <w:t>Ramassà</w:t>
      </w:r>
      <w:proofErr w:type="spellEnd"/>
      <w:r w:rsidRPr="002775A6">
        <w:rPr>
          <w:lang w:val="uk-UA"/>
        </w:rPr>
        <w:t xml:space="preserve"> 08520 </w:t>
      </w:r>
      <w:proofErr w:type="spellStart"/>
      <w:r w:rsidRPr="002775A6">
        <w:rPr>
          <w:lang w:val="uk-UA"/>
        </w:rPr>
        <w:t>Les</w:t>
      </w:r>
      <w:proofErr w:type="spellEnd"/>
      <w:r w:rsidRPr="002775A6">
        <w:rPr>
          <w:lang w:val="uk-UA"/>
        </w:rPr>
        <w:t xml:space="preserve"> </w:t>
      </w:r>
      <w:proofErr w:type="spellStart"/>
      <w:r w:rsidRPr="002775A6">
        <w:rPr>
          <w:lang w:val="uk-UA"/>
        </w:rPr>
        <w:t>Franqueses</w:t>
      </w:r>
      <w:proofErr w:type="spellEnd"/>
      <w:r w:rsidRPr="002775A6">
        <w:rPr>
          <w:lang w:val="uk-UA"/>
        </w:rPr>
        <w:t xml:space="preserve"> </w:t>
      </w:r>
      <w:proofErr w:type="spellStart"/>
      <w:r w:rsidRPr="002775A6">
        <w:rPr>
          <w:lang w:val="uk-UA"/>
        </w:rPr>
        <w:t>del</w:t>
      </w:r>
      <w:proofErr w:type="spellEnd"/>
      <w:r w:rsidRPr="002775A6">
        <w:rPr>
          <w:lang w:val="uk-UA"/>
        </w:rPr>
        <w:t xml:space="preserve"> </w:t>
      </w:r>
      <w:proofErr w:type="spellStart"/>
      <w:r w:rsidRPr="002775A6">
        <w:rPr>
          <w:lang w:val="uk-UA"/>
        </w:rPr>
        <w:t>Vallès</w:t>
      </w:r>
      <w:proofErr w:type="spellEnd"/>
      <w:r w:rsidRPr="002775A6">
        <w:rPr>
          <w:lang w:val="uk-UA"/>
        </w:rPr>
        <w:t>, BARCELONA, SPAIN.</w:t>
      </w:r>
    </w:p>
    <w:p w:rsidR="00267895" w:rsidRPr="002775A6" w:rsidRDefault="00267895" w:rsidP="00750502">
      <w:pPr>
        <w:pStyle w:val="ae"/>
        <w:spacing w:before="0" w:beforeAutospacing="0" w:after="0" w:afterAutospacing="0"/>
        <w:ind w:right="-1"/>
        <w:jc w:val="both"/>
        <w:rPr>
          <w:sz w:val="27"/>
          <w:szCs w:val="27"/>
          <w:lang w:val="uk-UA"/>
        </w:rPr>
      </w:pPr>
      <w:r w:rsidRPr="002775A6">
        <w:rPr>
          <w:lang w:val="uk-UA"/>
        </w:rPr>
        <w:t xml:space="preserve">Промислове об'єднання Леона. Фаза I, </w:t>
      </w:r>
      <w:proofErr w:type="spellStart"/>
      <w:r w:rsidRPr="002775A6">
        <w:rPr>
          <w:lang w:val="uk-UA"/>
        </w:rPr>
        <w:t>калле</w:t>
      </w:r>
      <w:proofErr w:type="spellEnd"/>
      <w:r w:rsidRPr="002775A6">
        <w:rPr>
          <w:lang w:val="uk-UA"/>
        </w:rPr>
        <w:t xml:space="preserve"> 3, парцела G-8 24231 </w:t>
      </w:r>
      <w:proofErr w:type="spellStart"/>
      <w:r w:rsidRPr="002775A6">
        <w:rPr>
          <w:lang w:val="uk-UA"/>
        </w:rPr>
        <w:t>Онсонілья</w:t>
      </w:r>
      <w:proofErr w:type="spellEnd"/>
      <w:r w:rsidRPr="002775A6">
        <w:rPr>
          <w:lang w:val="uk-UA"/>
        </w:rPr>
        <w:t xml:space="preserve"> – Леон, Іспанія</w:t>
      </w:r>
      <w:r w:rsidR="00CF39E1" w:rsidRPr="002775A6">
        <w:rPr>
          <w:lang w:val="uk-UA"/>
        </w:rPr>
        <w:t>.</w:t>
      </w:r>
      <w:r w:rsidRPr="002775A6">
        <w:rPr>
          <w:sz w:val="27"/>
          <w:szCs w:val="27"/>
          <w:lang w:val="uk-UA"/>
        </w:rPr>
        <w:t xml:space="preserve"> </w:t>
      </w:r>
    </w:p>
    <w:p w:rsidR="00267895" w:rsidRPr="00AE0AB4" w:rsidRDefault="00267895" w:rsidP="00750502">
      <w:pPr>
        <w:pStyle w:val="ae"/>
        <w:spacing w:before="0" w:beforeAutospacing="0" w:after="0" w:afterAutospacing="0"/>
        <w:ind w:right="-1"/>
        <w:jc w:val="both"/>
        <w:rPr>
          <w:lang w:val="uk-UA"/>
        </w:rPr>
      </w:pPr>
      <w:r w:rsidRPr="00AE0AB4">
        <w:rPr>
          <w:lang w:val="uk-UA"/>
        </w:rPr>
        <w:t xml:space="preserve">CALIER LEON </w:t>
      </w:r>
      <w:proofErr w:type="spellStart"/>
      <w:r w:rsidRPr="00AE0AB4">
        <w:rPr>
          <w:lang w:val="uk-UA"/>
        </w:rPr>
        <w:t>Polígono</w:t>
      </w:r>
      <w:proofErr w:type="spellEnd"/>
      <w:r w:rsidRPr="00AE0AB4">
        <w:rPr>
          <w:lang w:val="uk-UA"/>
        </w:rPr>
        <w:t xml:space="preserve"> </w:t>
      </w:r>
      <w:proofErr w:type="spellStart"/>
      <w:r w:rsidRPr="00AE0AB4">
        <w:rPr>
          <w:lang w:val="uk-UA"/>
        </w:rPr>
        <w:t>Industrial</w:t>
      </w:r>
      <w:proofErr w:type="spellEnd"/>
      <w:r w:rsidRPr="00AE0AB4">
        <w:rPr>
          <w:lang w:val="uk-UA"/>
        </w:rPr>
        <w:t xml:space="preserve"> </w:t>
      </w:r>
      <w:proofErr w:type="spellStart"/>
      <w:r w:rsidRPr="00AE0AB4">
        <w:rPr>
          <w:lang w:val="uk-UA"/>
        </w:rPr>
        <w:t>de</w:t>
      </w:r>
      <w:proofErr w:type="spellEnd"/>
      <w:r w:rsidRPr="00AE0AB4">
        <w:rPr>
          <w:lang w:val="uk-UA"/>
        </w:rPr>
        <w:t xml:space="preserve"> </w:t>
      </w:r>
      <w:proofErr w:type="spellStart"/>
      <w:r w:rsidRPr="00AE0AB4">
        <w:rPr>
          <w:lang w:val="uk-UA"/>
        </w:rPr>
        <w:t>León</w:t>
      </w:r>
      <w:proofErr w:type="spellEnd"/>
      <w:r w:rsidRPr="00AE0AB4">
        <w:rPr>
          <w:lang w:val="uk-UA"/>
        </w:rPr>
        <w:t xml:space="preserve">. </w:t>
      </w:r>
      <w:proofErr w:type="spellStart"/>
      <w:r w:rsidRPr="00AE0AB4">
        <w:rPr>
          <w:lang w:val="uk-UA"/>
        </w:rPr>
        <w:t>Fase</w:t>
      </w:r>
      <w:proofErr w:type="spellEnd"/>
      <w:r w:rsidRPr="00AE0AB4">
        <w:rPr>
          <w:lang w:val="uk-UA"/>
        </w:rPr>
        <w:t xml:space="preserve"> I, </w:t>
      </w:r>
      <w:proofErr w:type="spellStart"/>
      <w:r w:rsidRPr="00AE0AB4">
        <w:rPr>
          <w:lang w:val="uk-UA"/>
        </w:rPr>
        <w:t>calle</w:t>
      </w:r>
      <w:proofErr w:type="spellEnd"/>
      <w:r w:rsidRPr="00AE0AB4">
        <w:rPr>
          <w:lang w:val="uk-UA"/>
        </w:rPr>
        <w:t xml:space="preserve"> 3, </w:t>
      </w:r>
      <w:proofErr w:type="spellStart"/>
      <w:r w:rsidRPr="00AE0AB4">
        <w:rPr>
          <w:lang w:val="uk-UA"/>
        </w:rPr>
        <w:t>Parcela</w:t>
      </w:r>
      <w:proofErr w:type="spellEnd"/>
      <w:r w:rsidRPr="00AE0AB4">
        <w:rPr>
          <w:lang w:val="uk-UA"/>
        </w:rPr>
        <w:t xml:space="preserve"> G-8 24231 </w:t>
      </w:r>
      <w:proofErr w:type="spellStart"/>
      <w:r w:rsidRPr="00AE0AB4">
        <w:rPr>
          <w:lang w:val="uk-UA"/>
        </w:rPr>
        <w:t>Onzonilla</w:t>
      </w:r>
      <w:proofErr w:type="spellEnd"/>
      <w:r w:rsidRPr="00AE0AB4">
        <w:rPr>
          <w:lang w:val="uk-UA"/>
        </w:rPr>
        <w:t xml:space="preserve"> – </w:t>
      </w:r>
      <w:proofErr w:type="spellStart"/>
      <w:r w:rsidRPr="00AE0AB4">
        <w:rPr>
          <w:lang w:val="uk-UA"/>
        </w:rPr>
        <w:t>León</w:t>
      </w:r>
      <w:proofErr w:type="spellEnd"/>
      <w:r w:rsidRPr="00AE0AB4">
        <w:rPr>
          <w:lang w:val="uk-UA"/>
        </w:rPr>
        <w:t xml:space="preserve">, </w:t>
      </w:r>
      <w:proofErr w:type="spellStart"/>
      <w:r w:rsidRPr="00AE0AB4">
        <w:rPr>
          <w:lang w:val="uk-UA"/>
        </w:rPr>
        <w:t>Spain</w:t>
      </w:r>
      <w:proofErr w:type="spellEnd"/>
      <w:r w:rsidR="00CF39E1" w:rsidRPr="00AE0AB4">
        <w:rPr>
          <w:lang w:val="uk-UA"/>
        </w:rPr>
        <w:t>.</w:t>
      </w:r>
      <w:r w:rsidRPr="00AE0AB4">
        <w:rPr>
          <w:lang w:val="uk-UA"/>
        </w:rPr>
        <w:t xml:space="preserve"> </w:t>
      </w:r>
    </w:p>
    <w:p w:rsidR="00D66B08" w:rsidRPr="002775A6" w:rsidRDefault="00D66B08" w:rsidP="007E3E2A">
      <w:pPr>
        <w:ind w:right="-1"/>
        <w:jc w:val="both"/>
        <w:rPr>
          <w:b/>
        </w:rPr>
      </w:pPr>
      <w:r w:rsidRPr="002775A6">
        <w:rPr>
          <w:b/>
        </w:rPr>
        <w:t>6.7. Особливі заходи безпеки при поводженні з невикористаним засобом</w:t>
      </w:r>
    </w:p>
    <w:p w:rsidR="00183288" w:rsidRPr="002775A6" w:rsidRDefault="00183288" w:rsidP="007E3E2A">
      <w:pPr>
        <w:ind w:right="-1"/>
        <w:jc w:val="both"/>
      </w:pPr>
      <w:r w:rsidRPr="002775A6">
        <w:t>Використовуйте схеми повернення для утилізації будь-якого невикористаного ветеринарного лікарського засобу або відходів, отриманих з нього, відповідно до місцевих вимог та будь-яких національних систем збору, що застосовуються до відповідного ветеринарного лікарського засобу.</w:t>
      </w:r>
    </w:p>
    <w:p w:rsidR="00804F4E" w:rsidRPr="002775A6" w:rsidRDefault="00804F4E" w:rsidP="007E3E2A">
      <w:pPr>
        <w:ind w:right="-1"/>
        <w:rPr>
          <w:b/>
        </w:rPr>
      </w:pPr>
      <w:r w:rsidRPr="002775A6">
        <w:rPr>
          <w:b/>
        </w:rPr>
        <w:t>6.8. Правила відпуску</w:t>
      </w:r>
    </w:p>
    <w:p w:rsidR="00804F4E" w:rsidRPr="002775A6" w:rsidRDefault="001212BC" w:rsidP="007E3E2A">
      <w:pPr>
        <w:ind w:right="-1"/>
      </w:pPr>
      <w:r w:rsidRPr="002775A6">
        <w:t>За</w:t>
      </w:r>
      <w:r w:rsidR="00804F4E" w:rsidRPr="002775A6">
        <w:t xml:space="preserve"> рецепт</w:t>
      </w:r>
      <w:r w:rsidRPr="002775A6">
        <w:t>ом</w:t>
      </w:r>
      <w:r w:rsidR="00804F4E" w:rsidRPr="002775A6">
        <w:t>.</w:t>
      </w:r>
    </w:p>
    <w:p w:rsidR="00804F4E" w:rsidRPr="002775A6" w:rsidRDefault="00804F4E" w:rsidP="007E3E2A">
      <w:pPr>
        <w:ind w:left="12" w:right="-1"/>
        <w:jc w:val="both"/>
        <w:rPr>
          <w:b/>
        </w:rPr>
      </w:pPr>
      <w:r w:rsidRPr="002775A6">
        <w:rPr>
          <w:b/>
        </w:rPr>
        <w:t>7. Додаткова інформація</w:t>
      </w:r>
    </w:p>
    <w:p w:rsidR="00750502" w:rsidRPr="002775A6" w:rsidRDefault="00804F4E" w:rsidP="007E3E2A">
      <w:pPr>
        <w:ind w:left="12" w:right="-1"/>
        <w:jc w:val="both"/>
      </w:pPr>
      <w:r w:rsidRPr="002775A6">
        <w:t xml:space="preserve">Якщо препарат не відповідає вимогам листівки-вкладки або виникли ускладнення, застосування цієї серії негайно припиняють і повідомляють Державний науково-контрольний інститут біотехнології і штамів мікроорганізмів (ДНКІБШМ) та постачальника (виробника). Одночасно з посланцем у ДНКІБШМ направляють, </w:t>
      </w:r>
    </w:p>
    <w:p w:rsidR="00750502" w:rsidRPr="002775A6" w:rsidRDefault="00750502" w:rsidP="00750502">
      <w:pPr>
        <w:ind w:left="12" w:right="-1"/>
        <w:jc w:val="right"/>
      </w:pPr>
      <w:r w:rsidRPr="002775A6">
        <w:lastRenderedPageBreak/>
        <w:t>Продовження додатку  №1</w:t>
      </w:r>
    </w:p>
    <w:p w:rsidR="00750502" w:rsidRPr="002775A6" w:rsidRDefault="00750502" w:rsidP="00750502">
      <w:pPr>
        <w:ind w:left="12" w:right="-1"/>
        <w:jc w:val="right"/>
      </w:pPr>
      <w:r w:rsidRPr="002775A6">
        <w:t>до реєстраційного посвідчення</w:t>
      </w:r>
    </w:p>
    <w:p w:rsidR="00750502" w:rsidRPr="002775A6" w:rsidRDefault="00750502" w:rsidP="00750502">
      <w:pPr>
        <w:ind w:left="12" w:right="-1"/>
        <w:jc w:val="right"/>
      </w:pPr>
      <w:r w:rsidRPr="002775A6">
        <w:t>№</w:t>
      </w:r>
    </w:p>
    <w:p w:rsidR="00750502" w:rsidRPr="002775A6" w:rsidRDefault="00750502" w:rsidP="00750502">
      <w:pPr>
        <w:ind w:left="12" w:right="-1"/>
        <w:jc w:val="right"/>
      </w:pPr>
      <w:r w:rsidRPr="002775A6">
        <w:t>Від</w:t>
      </w:r>
    </w:p>
    <w:p w:rsidR="00750502" w:rsidRPr="002775A6" w:rsidRDefault="00750502" w:rsidP="007E3E2A">
      <w:pPr>
        <w:ind w:left="12" w:right="-1"/>
        <w:jc w:val="both"/>
      </w:pPr>
    </w:p>
    <w:p w:rsidR="00804F4E" w:rsidRPr="002775A6" w:rsidRDefault="00804F4E" w:rsidP="007E3E2A">
      <w:pPr>
        <w:ind w:left="12" w:right="-1"/>
        <w:jc w:val="both"/>
      </w:pPr>
      <w:r w:rsidRPr="002775A6">
        <w:t>відповідно до «Вказівки про порядок пред’явлення рекламацій на біологічні препарати, що призначені для застосування у ветеринарній медицині» від 03.06.98 №</w:t>
      </w:r>
      <w:r w:rsidR="000B3BF7" w:rsidRPr="002775A6">
        <w:t xml:space="preserve"> </w:t>
      </w:r>
      <w:r w:rsidRPr="002775A6">
        <w:t xml:space="preserve">2 три нерозкриті флакони цієї серії препарату за </w:t>
      </w:r>
      <w:proofErr w:type="spellStart"/>
      <w:r w:rsidRPr="002775A6">
        <w:t>адресою</w:t>
      </w:r>
      <w:proofErr w:type="spellEnd"/>
      <w:r w:rsidRPr="002775A6">
        <w:t xml:space="preserve">: 03151, м. Київ, вул. Донецька, 30, ДНКІБШМ. </w:t>
      </w:r>
    </w:p>
    <w:p w:rsidR="00D66B08" w:rsidRPr="002775A6" w:rsidRDefault="00D66B08" w:rsidP="007E3E2A">
      <w:pPr>
        <w:ind w:left="12" w:right="-1"/>
        <w:jc w:val="both"/>
        <w:rPr>
          <w:b/>
        </w:rPr>
      </w:pPr>
    </w:p>
    <w:sectPr w:rsidR="00D66B08" w:rsidRPr="002775A6" w:rsidSect="004B44F2">
      <w:footerReference w:type="default" r:id="rId9"/>
      <w:pgSz w:w="11906" w:h="16838"/>
      <w:pgMar w:top="1135" w:right="850" w:bottom="1134" w:left="1701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33F7" w:rsidRDefault="00A033F7" w:rsidP="004A7A5E">
      <w:r>
        <w:separator/>
      </w:r>
    </w:p>
  </w:endnote>
  <w:endnote w:type="continuationSeparator" w:id="0">
    <w:p w:rsidR="00A033F7" w:rsidRDefault="00A033F7" w:rsidP="004A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8526310"/>
      <w:docPartObj>
        <w:docPartGallery w:val="Page Numbers (Bottom of Page)"/>
        <w:docPartUnique/>
      </w:docPartObj>
    </w:sdtPr>
    <w:sdtContent>
      <w:p w:rsidR="00114BA7" w:rsidRDefault="00114BA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5A6" w:rsidRPr="002775A6">
          <w:rPr>
            <w:noProof/>
            <w:lang w:val="ru-RU"/>
          </w:rPr>
          <w:t>5</w:t>
        </w:r>
        <w:r>
          <w:fldChar w:fldCharType="end"/>
        </w:r>
      </w:p>
    </w:sdtContent>
  </w:sdt>
  <w:p w:rsidR="004A7A5E" w:rsidRDefault="004A7A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33F7" w:rsidRDefault="00A033F7" w:rsidP="004A7A5E">
      <w:r>
        <w:separator/>
      </w:r>
    </w:p>
  </w:footnote>
  <w:footnote w:type="continuationSeparator" w:id="0">
    <w:p w:rsidR="00A033F7" w:rsidRDefault="00A033F7" w:rsidP="004A7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4508"/>
    <w:multiLevelType w:val="hybridMultilevel"/>
    <w:tmpl w:val="812603FE"/>
    <w:lvl w:ilvl="0" w:tplc="C6DEBA1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47B40"/>
    <w:multiLevelType w:val="hybridMultilevel"/>
    <w:tmpl w:val="1FA42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F7369"/>
    <w:multiLevelType w:val="hybridMultilevel"/>
    <w:tmpl w:val="C2024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F00B8"/>
    <w:multiLevelType w:val="hybridMultilevel"/>
    <w:tmpl w:val="D8DAB166"/>
    <w:lvl w:ilvl="0" w:tplc="4BEE6C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313072">
    <w:abstractNumId w:val="2"/>
  </w:num>
  <w:num w:numId="2" w16cid:durableId="1124037611">
    <w:abstractNumId w:val="1"/>
  </w:num>
  <w:num w:numId="3" w16cid:durableId="1327124521">
    <w:abstractNumId w:val="3"/>
  </w:num>
  <w:num w:numId="4" w16cid:durableId="1777553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B08"/>
    <w:rsid w:val="00015200"/>
    <w:rsid w:val="00027D28"/>
    <w:rsid w:val="0004246F"/>
    <w:rsid w:val="00052708"/>
    <w:rsid w:val="0009034D"/>
    <w:rsid w:val="00090FED"/>
    <w:rsid w:val="000B3BF7"/>
    <w:rsid w:val="000D277B"/>
    <w:rsid w:val="000D74C9"/>
    <w:rsid w:val="000F0C2A"/>
    <w:rsid w:val="000F2476"/>
    <w:rsid w:val="000F51B5"/>
    <w:rsid w:val="000F51BA"/>
    <w:rsid w:val="00114BA7"/>
    <w:rsid w:val="0011663E"/>
    <w:rsid w:val="001212BC"/>
    <w:rsid w:val="00126B17"/>
    <w:rsid w:val="00140057"/>
    <w:rsid w:val="00147CB0"/>
    <w:rsid w:val="00183288"/>
    <w:rsid w:val="00193F54"/>
    <w:rsid w:val="001C46D5"/>
    <w:rsid w:val="001C6D9C"/>
    <w:rsid w:val="001E4B4C"/>
    <w:rsid w:val="001F2714"/>
    <w:rsid w:val="001F691A"/>
    <w:rsid w:val="002019C2"/>
    <w:rsid w:val="00203F6F"/>
    <w:rsid w:val="00206628"/>
    <w:rsid w:val="002222BF"/>
    <w:rsid w:val="002348C3"/>
    <w:rsid w:val="00243E1C"/>
    <w:rsid w:val="002675CA"/>
    <w:rsid w:val="00267895"/>
    <w:rsid w:val="0027485C"/>
    <w:rsid w:val="002775A6"/>
    <w:rsid w:val="00291C14"/>
    <w:rsid w:val="002A24ED"/>
    <w:rsid w:val="002C6035"/>
    <w:rsid w:val="003253D3"/>
    <w:rsid w:val="00333108"/>
    <w:rsid w:val="003518EF"/>
    <w:rsid w:val="00355B18"/>
    <w:rsid w:val="00394247"/>
    <w:rsid w:val="003A0786"/>
    <w:rsid w:val="003C79CD"/>
    <w:rsid w:val="003D1EEE"/>
    <w:rsid w:val="003D60F4"/>
    <w:rsid w:val="0041509E"/>
    <w:rsid w:val="00437B5C"/>
    <w:rsid w:val="00442776"/>
    <w:rsid w:val="00466B14"/>
    <w:rsid w:val="00467013"/>
    <w:rsid w:val="00480D75"/>
    <w:rsid w:val="004876A1"/>
    <w:rsid w:val="004916B0"/>
    <w:rsid w:val="00492683"/>
    <w:rsid w:val="004A0706"/>
    <w:rsid w:val="004A4E38"/>
    <w:rsid w:val="004A7A5E"/>
    <w:rsid w:val="004B1BB1"/>
    <w:rsid w:val="004B44F2"/>
    <w:rsid w:val="004C6238"/>
    <w:rsid w:val="004E3FD4"/>
    <w:rsid w:val="004E58AA"/>
    <w:rsid w:val="004E7216"/>
    <w:rsid w:val="0050623A"/>
    <w:rsid w:val="0051273E"/>
    <w:rsid w:val="00512834"/>
    <w:rsid w:val="0053736F"/>
    <w:rsid w:val="00552D47"/>
    <w:rsid w:val="00552FC6"/>
    <w:rsid w:val="00581E39"/>
    <w:rsid w:val="00590147"/>
    <w:rsid w:val="005C72E0"/>
    <w:rsid w:val="005E4EC2"/>
    <w:rsid w:val="0060706C"/>
    <w:rsid w:val="006713F0"/>
    <w:rsid w:val="00672C74"/>
    <w:rsid w:val="00674081"/>
    <w:rsid w:val="00694701"/>
    <w:rsid w:val="00694B91"/>
    <w:rsid w:val="006A29CB"/>
    <w:rsid w:val="006B7111"/>
    <w:rsid w:val="006D4798"/>
    <w:rsid w:val="006D7E2A"/>
    <w:rsid w:val="006E39BF"/>
    <w:rsid w:val="006F6EC9"/>
    <w:rsid w:val="00701AC3"/>
    <w:rsid w:val="00731549"/>
    <w:rsid w:val="00743001"/>
    <w:rsid w:val="0074386C"/>
    <w:rsid w:val="00750502"/>
    <w:rsid w:val="00753B55"/>
    <w:rsid w:val="00785589"/>
    <w:rsid w:val="007A0E30"/>
    <w:rsid w:val="007B248C"/>
    <w:rsid w:val="007E3E2A"/>
    <w:rsid w:val="00804F4E"/>
    <w:rsid w:val="0083460E"/>
    <w:rsid w:val="00840AA7"/>
    <w:rsid w:val="008412C8"/>
    <w:rsid w:val="008457B8"/>
    <w:rsid w:val="00847C18"/>
    <w:rsid w:val="00854EA2"/>
    <w:rsid w:val="00856806"/>
    <w:rsid w:val="00863774"/>
    <w:rsid w:val="008A1960"/>
    <w:rsid w:val="008B6180"/>
    <w:rsid w:val="008C6152"/>
    <w:rsid w:val="0091736B"/>
    <w:rsid w:val="00927273"/>
    <w:rsid w:val="00942188"/>
    <w:rsid w:val="00942AFF"/>
    <w:rsid w:val="009507F4"/>
    <w:rsid w:val="00966F75"/>
    <w:rsid w:val="009738E3"/>
    <w:rsid w:val="009815CA"/>
    <w:rsid w:val="00986E70"/>
    <w:rsid w:val="00986EB2"/>
    <w:rsid w:val="009937D0"/>
    <w:rsid w:val="0099607C"/>
    <w:rsid w:val="009A29EE"/>
    <w:rsid w:val="009B162A"/>
    <w:rsid w:val="009D6D3C"/>
    <w:rsid w:val="009E6BCC"/>
    <w:rsid w:val="00A033F7"/>
    <w:rsid w:val="00A41875"/>
    <w:rsid w:val="00A85CA5"/>
    <w:rsid w:val="00A93385"/>
    <w:rsid w:val="00AA3A59"/>
    <w:rsid w:val="00AA4DD4"/>
    <w:rsid w:val="00AA5858"/>
    <w:rsid w:val="00AA6AC8"/>
    <w:rsid w:val="00AB2DA5"/>
    <w:rsid w:val="00AE0AB4"/>
    <w:rsid w:val="00AF586B"/>
    <w:rsid w:val="00B01E8B"/>
    <w:rsid w:val="00B2286F"/>
    <w:rsid w:val="00B42745"/>
    <w:rsid w:val="00B63547"/>
    <w:rsid w:val="00B70DC2"/>
    <w:rsid w:val="00B81573"/>
    <w:rsid w:val="00BB298A"/>
    <w:rsid w:val="00BC15DB"/>
    <w:rsid w:val="00BD2DF5"/>
    <w:rsid w:val="00BF1F4A"/>
    <w:rsid w:val="00BF2F4B"/>
    <w:rsid w:val="00C34ACB"/>
    <w:rsid w:val="00C62A96"/>
    <w:rsid w:val="00C670E1"/>
    <w:rsid w:val="00C700A8"/>
    <w:rsid w:val="00C91614"/>
    <w:rsid w:val="00CC7A6D"/>
    <w:rsid w:val="00CC7D7E"/>
    <w:rsid w:val="00CE6383"/>
    <w:rsid w:val="00CF2879"/>
    <w:rsid w:val="00CF39E1"/>
    <w:rsid w:val="00CF62BE"/>
    <w:rsid w:val="00D00953"/>
    <w:rsid w:val="00D00FBB"/>
    <w:rsid w:val="00D04777"/>
    <w:rsid w:val="00D507D6"/>
    <w:rsid w:val="00D507DF"/>
    <w:rsid w:val="00D66B08"/>
    <w:rsid w:val="00D819F1"/>
    <w:rsid w:val="00D81FD1"/>
    <w:rsid w:val="00D8421E"/>
    <w:rsid w:val="00D96DAB"/>
    <w:rsid w:val="00DA3D81"/>
    <w:rsid w:val="00DA6949"/>
    <w:rsid w:val="00DD5ABA"/>
    <w:rsid w:val="00E0523E"/>
    <w:rsid w:val="00E10707"/>
    <w:rsid w:val="00E10D0A"/>
    <w:rsid w:val="00E121E2"/>
    <w:rsid w:val="00E14A5F"/>
    <w:rsid w:val="00E23290"/>
    <w:rsid w:val="00E50A72"/>
    <w:rsid w:val="00EA5D14"/>
    <w:rsid w:val="00EB017C"/>
    <w:rsid w:val="00EB23E0"/>
    <w:rsid w:val="00EC0804"/>
    <w:rsid w:val="00EF45B4"/>
    <w:rsid w:val="00F03F4E"/>
    <w:rsid w:val="00F06231"/>
    <w:rsid w:val="00F114D6"/>
    <w:rsid w:val="00F17C03"/>
    <w:rsid w:val="00F20043"/>
    <w:rsid w:val="00F36C03"/>
    <w:rsid w:val="00F41FBA"/>
    <w:rsid w:val="00F43A75"/>
    <w:rsid w:val="00F50C2A"/>
    <w:rsid w:val="00F6539E"/>
    <w:rsid w:val="00F66D88"/>
    <w:rsid w:val="00F67874"/>
    <w:rsid w:val="00F706C1"/>
    <w:rsid w:val="00F752D4"/>
    <w:rsid w:val="00F82140"/>
    <w:rsid w:val="00FA5C17"/>
    <w:rsid w:val="00FA62A0"/>
    <w:rsid w:val="00FB4EF9"/>
    <w:rsid w:val="00FC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5B57"/>
  <w15:docId w15:val="{E8565506-1897-4A5E-A6D4-304E5765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9E1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link w:val="10"/>
    <w:uiPriority w:val="1"/>
    <w:qFormat/>
    <w:rsid w:val="00DA3D81"/>
    <w:pPr>
      <w:widowControl w:val="0"/>
      <w:autoSpaceDE w:val="0"/>
      <w:autoSpaceDN w:val="0"/>
      <w:ind w:left="883" w:hanging="677"/>
      <w:outlineLvl w:val="0"/>
    </w:pPr>
    <w:rPr>
      <w:rFonts w:ascii="Arial" w:eastAsia="Arial" w:hAnsi="Arial" w:cs="Arial"/>
      <w:b/>
      <w:bCs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66B0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11">
    <w:name w:val="Обычный1"/>
    <w:rsid w:val="00D66B08"/>
    <w:rPr>
      <w:rFonts w:ascii="Times New Roman" w:eastAsia="Times New Roman" w:hAnsi="Times New Roman"/>
      <w:color w:val="000000"/>
      <w:kern w:val="3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A7A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7A5E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4A7A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7A5E"/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rsid w:val="00492683"/>
    <w:pPr>
      <w:spacing w:before="100" w:beforeAutospacing="1" w:after="100" w:afterAutospacing="1"/>
    </w:pPr>
    <w:rPr>
      <w:lang w:val="ru-RU" w:eastAsia="ru-RU"/>
    </w:rPr>
  </w:style>
  <w:style w:type="character" w:customStyle="1" w:styleId="s5">
    <w:name w:val="s5"/>
    <w:basedOn w:val="a0"/>
    <w:rsid w:val="00492683"/>
  </w:style>
  <w:style w:type="paragraph" w:styleId="a8">
    <w:name w:val="List Paragraph"/>
    <w:basedOn w:val="a"/>
    <w:uiPriority w:val="34"/>
    <w:qFormat/>
    <w:rsid w:val="00CC7D7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01AC3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9161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91614"/>
    <w:rPr>
      <w:rFonts w:ascii="Segoe UI" w:eastAsia="Times New Roman" w:hAnsi="Segoe UI" w:cs="Segoe UI"/>
      <w:sz w:val="18"/>
      <w:szCs w:val="18"/>
      <w:lang w:val="uk-UA" w:eastAsia="uk-UA"/>
    </w:rPr>
  </w:style>
  <w:style w:type="character" w:customStyle="1" w:styleId="10">
    <w:name w:val="Заголовок 1 Знак"/>
    <w:basedOn w:val="a0"/>
    <w:link w:val="1"/>
    <w:uiPriority w:val="1"/>
    <w:rsid w:val="00DA3D81"/>
    <w:rPr>
      <w:rFonts w:ascii="Arial" w:eastAsia="Arial" w:hAnsi="Arial" w:cs="Arial"/>
      <w:b/>
      <w:bCs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DA3D8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DA3D81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DA3D81"/>
    <w:rPr>
      <w:rFonts w:ascii="Arial" w:eastAsia="Arial" w:hAnsi="Arial" w:cs="Arial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DA3D81"/>
    <w:pPr>
      <w:widowControl w:val="0"/>
      <w:autoSpaceDE w:val="0"/>
      <w:autoSpaceDN w:val="0"/>
      <w:spacing w:before="6" w:line="208" w:lineRule="exact"/>
      <w:ind w:left="10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ae">
    <w:name w:val="Normal (Web)"/>
    <w:basedOn w:val="a"/>
    <w:rsid w:val="0026789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eneticpc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73335-398C-4766-A7B4-BCE066F51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1723</Words>
  <Characters>9825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Орлюк Тетяна Михайлівна</dc:creator>
  <cp:lastModifiedBy>Бояновський Сергій Олександрович</cp:lastModifiedBy>
  <cp:revision>28</cp:revision>
  <cp:lastPrinted>2024-12-09T09:53:00Z</cp:lastPrinted>
  <dcterms:created xsi:type="dcterms:W3CDTF">2024-12-06T13:17:00Z</dcterms:created>
  <dcterms:modified xsi:type="dcterms:W3CDTF">2025-06-18T12:53:00Z</dcterms:modified>
</cp:coreProperties>
</file>