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48278" w14:textId="77777777" w:rsidR="00F45F32" w:rsidRPr="00136FF1" w:rsidRDefault="00F45F32" w:rsidP="00136FF1">
      <w:pPr>
        <w:ind w:left="6840"/>
        <w:rPr>
          <w:bCs/>
        </w:rPr>
      </w:pPr>
      <w:r w:rsidRPr="00136FF1">
        <w:rPr>
          <w:bCs/>
        </w:rPr>
        <w:t>Додаток 1</w:t>
      </w:r>
    </w:p>
    <w:p w14:paraId="02BE0519" w14:textId="5AFA0038" w:rsidR="00F45F32" w:rsidRPr="00136FF1" w:rsidRDefault="00F45F32" w:rsidP="00136FF1">
      <w:pPr>
        <w:ind w:left="6840"/>
        <w:rPr>
          <w:bCs/>
        </w:rPr>
      </w:pPr>
      <w:r w:rsidRPr="00136FF1">
        <w:rPr>
          <w:bCs/>
        </w:rPr>
        <w:t>до реєстраційного посвідчення</w:t>
      </w:r>
    </w:p>
    <w:p w14:paraId="4ED638D8" w14:textId="206CCDC6" w:rsidR="00F45F32" w:rsidRPr="00136FF1" w:rsidRDefault="00F45F32" w:rsidP="00136FF1">
      <w:pPr>
        <w:ind w:left="6840"/>
        <w:rPr>
          <w:bCs/>
        </w:rPr>
      </w:pPr>
      <w:r w:rsidRPr="00136FF1">
        <w:rPr>
          <w:bCs/>
        </w:rPr>
        <w:t xml:space="preserve">№ </w:t>
      </w:r>
      <w:r w:rsidR="009A2BC3" w:rsidRPr="00136FF1">
        <w:rPr>
          <w:bCs/>
        </w:rPr>
        <w:t>ВА-00779-02-15</w:t>
      </w:r>
    </w:p>
    <w:p w14:paraId="0B4F891F" w14:textId="20795AD6" w:rsidR="00F45F32" w:rsidRPr="00136FF1" w:rsidRDefault="00F45F32" w:rsidP="00136FF1">
      <w:pPr>
        <w:ind w:left="6840"/>
        <w:rPr>
          <w:bCs/>
        </w:rPr>
      </w:pPr>
      <w:r w:rsidRPr="00136FF1">
        <w:rPr>
          <w:bCs/>
        </w:rPr>
        <w:t xml:space="preserve">від </w:t>
      </w:r>
    </w:p>
    <w:p w14:paraId="054C1BCB" w14:textId="27B54520" w:rsidR="00F45F32" w:rsidRPr="00136FF1" w:rsidRDefault="00F45F32" w:rsidP="00136FF1">
      <w:pPr>
        <w:ind w:left="6660"/>
        <w:rPr>
          <w:bCs/>
        </w:rPr>
      </w:pPr>
    </w:p>
    <w:p w14:paraId="53D2F0B2" w14:textId="77777777" w:rsidR="00F45F32" w:rsidRPr="00136FF1" w:rsidRDefault="00F45F32" w:rsidP="00136FF1">
      <w:pPr>
        <w:jc w:val="center"/>
        <w:rPr>
          <w:b/>
          <w:bCs/>
        </w:rPr>
      </w:pPr>
      <w:r w:rsidRPr="00136FF1">
        <w:rPr>
          <w:b/>
          <w:bCs/>
        </w:rPr>
        <w:t>Коротка характеристика препарату</w:t>
      </w:r>
    </w:p>
    <w:p w14:paraId="5E68AE1C" w14:textId="77777777" w:rsidR="00F45F32" w:rsidRPr="00136FF1" w:rsidRDefault="00F45F32" w:rsidP="00136FF1">
      <w:pPr>
        <w:jc w:val="center"/>
        <w:rPr>
          <w:b/>
          <w:bCs/>
        </w:rPr>
      </w:pPr>
    </w:p>
    <w:p w14:paraId="70EC5304" w14:textId="77777777" w:rsidR="00F45F32" w:rsidRPr="00136FF1" w:rsidRDefault="00F45F32" w:rsidP="00136FF1">
      <w:pPr>
        <w:jc w:val="both"/>
        <w:rPr>
          <w:rStyle w:val="longtext"/>
          <w:b/>
          <w:shd w:val="clear" w:color="auto" w:fill="FFFFFF"/>
        </w:rPr>
      </w:pPr>
      <w:r w:rsidRPr="00136FF1">
        <w:rPr>
          <w:b/>
        </w:rPr>
        <w:t xml:space="preserve">1. </w:t>
      </w:r>
      <w:r w:rsidRPr="00136FF1">
        <w:rPr>
          <w:rStyle w:val="longtext"/>
          <w:b/>
          <w:shd w:val="clear" w:color="auto" w:fill="FFFFFF"/>
        </w:rPr>
        <w:t>Назва ветеринарного препарату</w:t>
      </w:r>
    </w:p>
    <w:p w14:paraId="3539C168" w14:textId="77777777" w:rsidR="00F45F32" w:rsidRPr="00136FF1" w:rsidRDefault="00F45F32" w:rsidP="00136FF1">
      <w:pPr>
        <w:autoSpaceDE w:val="0"/>
        <w:autoSpaceDN w:val="0"/>
        <w:adjustRightInd w:val="0"/>
        <w:jc w:val="both"/>
      </w:pPr>
      <w:r w:rsidRPr="00136FF1">
        <w:t>Інгельвак РРССФЛЕКС</w:t>
      </w:r>
      <w:r w:rsidRPr="00136FF1">
        <w:rPr>
          <w:vertAlign w:val="superscript"/>
        </w:rPr>
        <w:t>®</w:t>
      </w:r>
      <w:r w:rsidRPr="00136FF1">
        <w:t xml:space="preserve"> ЄС </w:t>
      </w:r>
      <w:r w:rsidRPr="00136FF1">
        <w:rPr>
          <w:shd w:val="clear" w:color="auto" w:fill="FFFFFF"/>
        </w:rPr>
        <w:t xml:space="preserve">– </w:t>
      </w:r>
      <w:r w:rsidRPr="00136FF1">
        <w:t>вакцина жива ліофілізована з розчинником проти репродуктивно-респіраторного синдрому свиней.</w:t>
      </w:r>
    </w:p>
    <w:p w14:paraId="03BD7D7D" w14:textId="77777777" w:rsidR="00F45F32" w:rsidRPr="00136FF1" w:rsidRDefault="00F45F32" w:rsidP="00136FF1">
      <w:pPr>
        <w:autoSpaceDE w:val="0"/>
        <w:autoSpaceDN w:val="0"/>
        <w:adjustRightInd w:val="0"/>
        <w:jc w:val="both"/>
        <w:rPr>
          <w:rStyle w:val="longtext"/>
          <w:b/>
          <w:shd w:val="clear" w:color="auto" w:fill="FFFFFF"/>
        </w:rPr>
      </w:pPr>
      <w:r w:rsidRPr="00136FF1">
        <w:rPr>
          <w:b/>
        </w:rPr>
        <w:t xml:space="preserve">2. </w:t>
      </w:r>
      <w:r w:rsidRPr="00136FF1">
        <w:rPr>
          <w:rStyle w:val="longtext"/>
          <w:b/>
          <w:shd w:val="clear" w:color="auto" w:fill="FFFFFF"/>
        </w:rPr>
        <w:t>Якісний і кількісний склад</w:t>
      </w:r>
    </w:p>
    <w:p w14:paraId="1783DB8F" w14:textId="791572EB" w:rsidR="00F45F32" w:rsidRPr="00136FF1" w:rsidRDefault="00F45F32" w:rsidP="00136FF1">
      <w:pPr>
        <w:jc w:val="both"/>
        <w:rPr>
          <w:lang w:eastAsia="en-US"/>
        </w:rPr>
      </w:pPr>
      <w:r w:rsidRPr="00136FF1">
        <w:rPr>
          <w:lang w:eastAsia="en-US"/>
        </w:rPr>
        <w:t xml:space="preserve">Одна доза вакцини </w:t>
      </w:r>
      <w:r w:rsidRPr="00136FF1">
        <w:t xml:space="preserve">1 </w:t>
      </w:r>
      <w:bookmarkStart w:id="0" w:name="_Hlk187739042"/>
      <w:r w:rsidR="00B4571F" w:rsidRPr="00334F56">
        <w:t>мл</w:t>
      </w:r>
      <w:bookmarkEnd w:id="0"/>
      <w:r w:rsidRPr="00136FF1">
        <w:t xml:space="preserve"> містить</w:t>
      </w:r>
      <w:r w:rsidRPr="00136FF1">
        <w:rPr>
          <w:lang w:eastAsia="en-US"/>
        </w:rPr>
        <w:t>:</w:t>
      </w:r>
    </w:p>
    <w:p w14:paraId="388ACACD" w14:textId="77777777" w:rsidR="00F45F32" w:rsidRPr="00136FF1" w:rsidRDefault="00F45F32" w:rsidP="00136FF1">
      <w:pPr>
        <w:numPr>
          <w:ilvl w:val="0"/>
          <w:numId w:val="1"/>
        </w:numPr>
        <w:autoSpaceDE w:val="0"/>
        <w:autoSpaceDN w:val="0"/>
        <w:adjustRightInd w:val="0"/>
        <w:ind w:left="0" w:firstLine="0"/>
        <w:jc w:val="both"/>
      </w:pPr>
      <w:r w:rsidRPr="00136FF1">
        <w:rPr>
          <w:rStyle w:val="Emphasis"/>
          <w:b w:val="0"/>
          <w:bCs/>
        </w:rPr>
        <w:t xml:space="preserve">живий атенуйований </w:t>
      </w:r>
      <w:r w:rsidRPr="00136FF1">
        <w:t xml:space="preserve">вірус репродуктивно-респіраторного синдрому свиней, штам </w:t>
      </w:r>
      <w:r w:rsidRPr="00136FF1">
        <w:rPr>
          <w:lang w:eastAsia="en-US"/>
        </w:rPr>
        <w:t>94881 (генотип 1): 10</w:t>
      </w:r>
      <w:r w:rsidRPr="00136FF1">
        <w:rPr>
          <w:position w:val="4"/>
          <w:vertAlign w:val="superscript"/>
          <w:lang w:eastAsia="en-US"/>
        </w:rPr>
        <w:t>4,4</w:t>
      </w:r>
      <w:r w:rsidRPr="00136FF1">
        <w:rPr>
          <w:position w:val="4"/>
          <w:lang w:eastAsia="en-US"/>
        </w:rPr>
        <w:t xml:space="preserve"> </w:t>
      </w:r>
      <w:r w:rsidRPr="00136FF1">
        <w:rPr>
          <w:lang w:eastAsia="en-US"/>
        </w:rPr>
        <w:t>TCID</w:t>
      </w:r>
      <w:r w:rsidRPr="00136FF1">
        <w:rPr>
          <w:position w:val="-4"/>
          <w:vertAlign w:val="subscript"/>
          <w:lang w:eastAsia="en-US"/>
        </w:rPr>
        <w:t>50</w:t>
      </w:r>
      <w:r w:rsidRPr="00136FF1">
        <w:rPr>
          <w:lang w:eastAsia="en-US"/>
        </w:rPr>
        <w:t>-10</w:t>
      </w:r>
      <w:r w:rsidRPr="00136FF1">
        <w:rPr>
          <w:position w:val="4"/>
          <w:vertAlign w:val="superscript"/>
          <w:lang w:eastAsia="en-US"/>
        </w:rPr>
        <w:t>6,6</w:t>
      </w:r>
      <w:r w:rsidRPr="00136FF1">
        <w:rPr>
          <w:position w:val="4"/>
          <w:lang w:eastAsia="en-US"/>
        </w:rPr>
        <w:t xml:space="preserve"> </w:t>
      </w:r>
      <w:r w:rsidRPr="00136FF1">
        <w:rPr>
          <w:lang w:eastAsia="en-US"/>
        </w:rPr>
        <w:t>TCID</w:t>
      </w:r>
      <w:r w:rsidRPr="00136FF1">
        <w:rPr>
          <w:position w:val="-4"/>
          <w:vertAlign w:val="subscript"/>
          <w:lang w:eastAsia="en-US"/>
        </w:rPr>
        <w:t>50.</w:t>
      </w:r>
    </w:p>
    <w:p w14:paraId="3F92E9BF" w14:textId="77777777" w:rsidR="00F45F32" w:rsidRPr="00136FF1" w:rsidRDefault="00F45F32" w:rsidP="00136FF1">
      <w:pPr>
        <w:jc w:val="both"/>
        <w:rPr>
          <w:i/>
        </w:rPr>
      </w:pPr>
      <w:r w:rsidRPr="00136FF1">
        <w:rPr>
          <w:i/>
        </w:rPr>
        <w:t>Допоміжні речовини:</w:t>
      </w:r>
    </w:p>
    <w:p w14:paraId="021E24F9" w14:textId="77777777" w:rsidR="00F45F32" w:rsidRPr="00136FF1" w:rsidRDefault="00F45F32" w:rsidP="00136FF1">
      <w:pPr>
        <w:autoSpaceDE w:val="0"/>
        <w:autoSpaceDN w:val="0"/>
        <w:adjustRightInd w:val="0"/>
        <w:jc w:val="both"/>
        <w:rPr>
          <w:color w:val="FF0000"/>
        </w:rPr>
      </w:pPr>
      <w:r w:rsidRPr="00136FF1">
        <w:t>Сахарозо-желатиновий стабілізатор (SGS)</w:t>
      </w:r>
      <w:r w:rsidRPr="00136FF1">
        <w:rPr>
          <w:rFonts w:eastAsia="SimSun"/>
        </w:rPr>
        <w:t xml:space="preserve"> 25% v/v ± 2%.</w:t>
      </w:r>
    </w:p>
    <w:p w14:paraId="597D1D1A" w14:textId="5716981E" w:rsidR="00F45F32" w:rsidRPr="00136FF1" w:rsidRDefault="00F45F32" w:rsidP="00136FF1">
      <w:pPr>
        <w:jc w:val="both"/>
        <w:rPr>
          <w:lang w:eastAsia="en-US"/>
        </w:rPr>
      </w:pPr>
      <w:r w:rsidRPr="00136FF1">
        <w:t xml:space="preserve">Фізіологічний розчин хлориду натрію до утворення об’єму 1 </w:t>
      </w:r>
      <w:r w:rsidR="00B4571F" w:rsidRPr="007A3949">
        <w:t>мл</w:t>
      </w:r>
      <w:r w:rsidRPr="00136FF1">
        <w:t>.</w:t>
      </w:r>
    </w:p>
    <w:p w14:paraId="2FD25494" w14:textId="77777777" w:rsidR="00F45F32" w:rsidRPr="00136FF1" w:rsidRDefault="00F45F32" w:rsidP="00136FF1">
      <w:pPr>
        <w:autoSpaceDE w:val="0"/>
        <w:autoSpaceDN w:val="0"/>
        <w:adjustRightInd w:val="0"/>
        <w:jc w:val="both"/>
        <w:rPr>
          <w:lang w:eastAsia="en-US"/>
        </w:rPr>
      </w:pPr>
      <w:r w:rsidRPr="00136FF1">
        <w:rPr>
          <w:i/>
        </w:rPr>
        <w:t xml:space="preserve">Розчинник: </w:t>
      </w:r>
      <w:r w:rsidRPr="00136FF1">
        <w:t>Інгельвак РРССФЛЕКС</w:t>
      </w:r>
      <w:r w:rsidRPr="00136FF1">
        <w:rPr>
          <w:vertAlign w:val="superscript"/>
        </w:rPr>
        <w:t>®</w:t>
      </w:r>
      <w:r w:rsidRPr="00136FF1">
        <w:t xml:space="preserve"> ЄС </w:t>
      </w:r>
      <w:r w:rsidRPr="00136FF1">
        <w:rPr>
          <w:lang w:eastAsia="en-US"/>
        </w:rPr>
        <w:t xml:space="preserve">для розчинення вакцини: </w:t>
      </w:r>
      <w:r w:rsidRPr="00136FF1">
        <w:t>забуферений фізіологічний розчин</w:t>
      </w:r>
      <w:r w:rsidRPr="00136FF1">
        <w:rPr>
          <w:lang w:eastAsia="en-US"/>
        </w:rPr>
        <w:t>.</w:t>
      </w:r>
    </w:p>
    <w:p w14:paraId="33036BFC" w14:textId="77777777" w:rsidR="00F45F32" w:rsidRPr="00136FF1" w:rsidRDefault="00F45F32" w:rsidP="00136FF1">
      <w:pPr>
        <w:jc w:val="both"/>
        <w:rPr>
          <w:rStyle w:val="longtext"/>
          <w:b/>
        </w:rPr>
      </w:pPr>
      <w:r w:rsidRPr="00136FF1">
        <w:rPr>
          <w:b/>
        </w:rPr>
        <w:t>3. Фармацевтична</w:t>
      </w:r>
      <w:r w:rsidRPr="00136FF1">
        <w:rPr>
          <w:rStyle w:val="longtext"/>
          <w:b/>
        </w:rPr>
        <w:t xml:space="preserve"> форма</w:t>
      </w:r>
    </w:p>
    <w:p w14:paraId="2552818F" w14:textId="77777777" w:rsidR="00F45F32" w:rsidRPr="00136FF1" w:rsidRDefault="00F45F32" w:rsidP="00136FF1">
      <w:pPr>
        <w:jc w:val="both"/>
        <w:rPr>
          <w:lang w:eastAsia="en-US"/>
        </w:rPr>
      </w:pPr>
      <w:r w:rsidRPr="00136FF1">
        <w:rPr>
          <w:rStyle w:val="hps"/>
        </w:rPr>
        <w:t>Ліофілізат та розчинник.</w:t>
      </w:r>
    </w:p>
    <w:p w14:paraId="69410AB6" w14:textId="77777777" w:rsidR="00F45F32" w:rsidRPr="00136FF1" w:rsidRDefault="00F45F32" w:rsidP="00136FF1">
      <w:pPr>
        <w:jc w:val="both"/>
        <w:rPr>
          <w:rStyle w:val="longtext"/>
          <w:b/>
        </w:rPr>
      </w:pPr>
      <w:r w:rsidRPr="00136FF1">
        <w:rPr>
          <w:b/>
        </w:rPr>
        <w:t xml:space="preserve">4. </w:t>
      </w:r>
      <w:r w:rsidRPr="00136FF1">
        <w:rPr>
          <w:rStyle w:val="longtext"/>
          <w:b/>
        </w:rPr>
        <w:t>Імунобіологічні властивості</w:t>
      </w:r>
    </w:p>
    <w:p w14:paraId="7F44D80E" w14:textId="77777777" w:rsidR="00F45F32" w:rsidRPr="00136FF1" w:rsidRDefault="00F45F32" w:rsidP="00136FF1">
      <w:pPr>
        <w:autoSpaceDE w:val="0"/>
        <w:autoSpaceDN w:val="0"/>
        <w:adjustRightInd w:val="0"/>
        <w:jc w:val="both"/>
        <w:rPr>
          <w:lang w:eastAsia="en-US"/>
        </w:rPr>
      </w:pPr>
      <w:r w:rsidRPr="00136FF1">
        <w:rPr>
          <w:shd w:val="clear" w:color="auto" w:fill="FFFFFF"/>
        </w:rPr>
        <w:t xml:space="preserve">Вакцина </w:t>
      </w:r>
      <w:r w:rsidRPr="00136FF1">
        <w:rPr>
          <w:spacing w:val="1"/>
        </w:rPr>
        <w:t xml:space="preserve">призначена для стимуляції розвитку імунної відповіді до вірусу </w:t>
      </w:r>
      <w:r w:rsidRPr="00136FF1">
        <w:t xml:space="preserve">репродуктивно-респіраторного синдрому </w:t>
      </w:r>
      <w:r w:rsidRPr="00136FF1">
        <w:rPr>
          <w:spacing w:val="1"/>
        </w:rPr>
        <w:t>свиней.</w:t>
      </w:r>
    </w:p>
    <w:p w14:paraId="0F219F87" w14:textId="77777777" w:rsidR="00F45F32" w:rsidRPr="00136FF1" w:rsidRDefault="00F45F32" w:rsidP="00136FF1">
      <w:pPr>
        <w:jc w:val="both"/>
        <w:rPr>
          <w:rStyle w:val="longtext"/>
          <w:b/>
        </w:rPr>
      </w:pPr>
      <w:r w:rsidRPr="00136FF1">
        <w:t xml:space="preserve">Вакцина забезпечує формування імунітету через </w:t>
      </w:r>
      <w:r w:rsidR="00ED7D9E" w:rsidRPr="00136FF1">
        <w:t xml:space="preserve">3 </w:t>
      </w:r>
      <w:r w:rsidRPr="00136FF1">
        <w:t xml:space="preserve">тижні після </w:t>
      </w:r>
      <w:r w:rsidRPr="00136FF1">
        <w:rPr>
          <w:rStyle w:val="FontStyle14"/>
          <w:sz w:val="24"/>
          <w:szCs w:val="24"/>
          <w:lang w:eastAsia="uk-UA"/>
        </w:rPr>
        <w:t>щеплення</w:t>
      </w:r>
      <w:r w:rsidRPr="00136FF1">
        <w:t xml:space="preserve">. Тривалість імунітету становить не менше </w:t>
      </w:r>
      <w:r w:rsidRPr="00136FF1">
        <w:rPr>
          <w:lang w:eastAsia="en-US"/>
        </w:rPr>
        <w:t>26 тижнів.</w:t>
      </w:r>
    </w:p>
    <w:p w14:paraId="17F1BD0F" w14:textId="77777777" w:rsidR="00F45F32" w:rsidRPr="00136FF1" w:rsidRDefault="00F45F32" w:rsidP="00136FF1">
      <w:pPr>
        <w:tabs>
          <w:tab w:val="left" w:pos="9630"/>
        </w:tabs>
        <w:jc w:val="both"/>
        <w:rPr>
          <w:b/>
        </w:rPr>
      </w:pPr>
      <w:r w:rsidRPr="00136FF1">
        <w:rPr>
          <w:b/>
        </w:rPr>
        <w:t>5. Клінічні характеристики</w:t>
      </w:r>
    </w:p>
    <w:p w14:paraId="2FEEB913" w14:textId="77777777" w:rsidR="00F45F32" w:rsidRPr="00136FF1" w:rsidRDefault="00F45F32" w:rsidP="00136FF1">
      <w:pPr>
        <w:jc w:val="both"/>
        <w:rPr>
          <w:b/>
        </w:rPr>
      </w:pPr>
      <w:r w:rsidRPr="00136FF1">
        <w:rPr>
          <w:b/>
        </w:rPr>
        <w:t>5.1. Вид тварин</w:t>
      </w:r>
    </w:p>
    <w:p w14:paraId="743ED275" w14:textId="77777777" w:rsidR="00F45F32" w:rsidRPr="00136FF1" w:rsidRDefault="00F45F32" w:rsidP="00136FF1">
      <w:pPr>
        <w:jc w:val="both"/>
        <w:rPr>
          <w:lang w:eastAsia="en-US"/>
        </w:rPr>
      </w:pPr>
      <w:r w:rsidRPr="00136FF1">
        <w:rPr>
          <w:spacing w:val="-1"/>
        </w:rPr>
        <w:t>Свині (поросята починаючи з 17 добового віку та до періоду відгодівлі).</w:t>
      </w:r>
    </w:p>
    <w:p w14:paraId="291CDA6D" w14:textId="77777777" w:rsidR="00F45F32" w:rsidRPr="00136FF1" w:rsidRDefault="00F45F32" w:rsidP="00136FF1">
      <w:pPr>
        <w:jc w:val="both"/>
        <w:rPr>
          <w:b/>
        </w:rPr>
      </w:pPr>
      <w:r w:rsidRPr="00136FF1">
        <w:rPr>
          <w:b/>
        </w:rPr>
        <w:t>5.2. Показання до застосування</w:t>
      </w:r>
    </w:p>
    <w:p w14:paraId="52F44E41" w14:textId="77777777" w:rsidR="00F45F32" w:rsidRPr="00136FF1" w:rsidRDefault="00F45F32" w:rsidP="00136FF1">
      <w:pPr>
        <w:jc w:val="both"/>
      </w:pPr>
      <w:r w:rsidRPr="00136FF1">
        <w:t xml:space="preserve">Для активної імунізації клінічно здорових свиней </w:t>
      </w:r>
      <w:r w:rsidRPr="00136FF1">
        <w:rPr>
          <w:spacing w:val="-1"/>
        </w:rPr>
        <w:t xml:space="preserve">починаючи з 17 добового віку </w:t>
      </w:r>
      <w:r w:rsidRPr="00136FF1">
        <w:t>і старше в господарствах, уражених вірусом репродуктивно-респіраторного синдрому свиней, з метою: зменшення ураження легень, втрати ваги тіла тварини, зниження клінічних ознак респіраторних захворювань, кількості віремічних свиней та вірусного навантаження в крові та тканинах легень.</w:t>
      </w:r>
    </w:p>
    <w:p w14:paraId="016AF879" w14:textId="77777777" w:rsidR="00F45F32" w:rsidRPr="00136FF1" w:rsidRDefault="00F45F32" w:rsidP="00136FF1">
      <w:pPr>
        <w:jc w:val="both"/>
        <w:rPr>
          <w:b/>
        </w:rPr>
      </w:pPr>
      <w:r w:rsidRPr="00136FF1">
        <w:rPr>
          <w:b/>
        </w:rPr>
        <w:t>5.3. Протипоказання</w:t>
      </w:r>
    </w:p>
    <w:p w14:paraId="7FCAD9CC" w14:textId="77777777" w:rsidR="00F45F32" w:rsidRPr="00136FF1" w:rsidRDefault="00F45F32" w:rsidP="00136FF1">
      <w:pPr>
        <w:jc w:val="both"/>
      </w:pPr>
      <w:r w:rsidRPr="00136FF1">
        <w:t>Не слід застосовувати вакцину при підвищеній чутливості до активного компонента або до будь-яких допоміжних речовин.</w:t>
      </w:r>
    </w:p>
    <w:p w14:paraId="24126EE2" w14:textId="77777777" w:rsidR="00F45F32" w:rsidRPr="00136FF1" w:rsidRDefault="00F45F32" w:rsidP="00136FF1">
      <w:pPr>
        <w:jc w:val="both"/>
      </w:pPr>
      <w:r w:rsidRPr="00136FF1">
        <w:rPr>
          <w:color w:val="222222"/>
        </w:rPr>
        <w:t>Цей ветеринарний засіб застосовується лише поросятам, і не призначений для свиноматок.</w:t>
      </w:r>
    </w:p>
    <w:p w14:paraId="72349835" w14:textId="77777777" w:rsidR="00F45F32" w:rsidRPr="00136FF1" w:rsidRDefault="00F45F32" w:rsidP="00136FF1">
      <w:pPr>
        <w:autoSpaceDE w:val="0"/>
        <w:autoSpaceDN w:val="0"/>
        <w:adjustRightInd w:val="0"/>
        <w:jc w:val="both"/>
        <w:rPr>
          <w:lang w:eastAsia="en-US"/>
        </w:rPr>
      </w:pPr>
      <w:r w:rsidRPr="00136FF1">
        <w:t>Не застосовувати в стадах, які не уражені РРСС та в яких наявність вірусу репродуктивно-респіраторного синдрому свиней не було виявлено за допомогою методів діагностики.</w:t>
      </w:r>
    </w:p>
    <w:p w14:paraId="66C02DBA" w14:textId="77777777" w:rsidR="00F45F32" w:rsidRPr="00136FF1" w:rsidRDefault="00F45F32" w:rsidP="00136FF1">
      <w:pPr>
        <w:jc w:val="both"/>
      </w:pPr>
      <w:r w:rsidRPr="00136FF1">
        <w:rPr>
          <w:b/>
        </w:rPr>
        <w:t xml:space="preserve">5.4. </w:t>
      </w:r>
      <w:r w:rsidRPr="00136FF1">
        <w:rPr>
          <w:b/>
          <w:bCs/>
          <w:lang w:eastAsia="uk-UA"/>
        </w:rPr>
        <w:t>Побічна дія</w:t>
      </w:r>
    </w:p>
    <w:p w14:paraId="75A717CD" w14:textId="47C3A4AF" w:rsidR="00F45F32" w:rsidRPr="00136FF1" w:rsidRDefault="00F45F32" w:rsidP="00136FF1">
      <w:pPr>
        <w:jc w:val="both"/>
        <w:rPr>
          <w:color w:val="FF0000"/>
        </w:rPr>
      </w:pPr>
      <w:r w:rsidRPr="00136FF1">
        <w:t xml:space="preserve">Незначне підвищення температури тіла (не більш ніж на </w:t>
      </w:r>
      <w:smartTag w:uri="urn:schemas-microsoft-com:office:smarttags" w:element="metricconverter">
        <w:smartTagPr>
          <w:attr w:name="ProductID" w:val="1,5 °C"/>
        </w:smartTagPr>
        <w:r w:rsidRPr="00136FF1">
          <w:t>1,5 °C</w:t>
        </w:r>
      </w:smartTag>
      <w:r w:rsidRPr="00136FF1">
        <w:t>) може спостерігатися після вакцинації та минає самостійно, без лікування.</w:t>
      </w:r>
      <w:r w:rsidR="0089391E" w:rsidRPr="00136FF1">
        <w:t xml:space="preserve"> Температура тіла тварини повертається до </w:t>
      </w:r>
      <w:r w:rsidR="00B805A6">
        <w:rPr>
          <w:lang w:val="ru-RU"/>
        </w:rPr>
        <w:t>ф</w:t>
      </w:r>
      <w:r w:rsidR="00B805A6">
        <w:t>ізіологічного</w:t>
      </w:r>
      <w:r w:rsidR="00B805A6" w:rsidRPr="00136FF1">
        <w:t xml:space="preserve"> </w:t>
      </w:r>
      <w:r w:rsidR="0089391E" w:rsidRPr="00136FF1">
        <w:t>показника без додаткового лікування впродовж 1-3 діб після спостерігання максимального підвищення терператути тіла.</w:t>
      </w:r>
    </w:p>
    <w:p w14:paraId="26490E82" w14:textId="77777777" w:rsidR="00F45F32" w:rsidRPr="00136FF1" w:rsidRDefault="00F45F32" w:rsidP="00136FF1">
      <w:pPr>
        <w:jc w:val="both"/>
      </w:pPr>
      <w:r w:rsidRPr="00136FF1">
        <w:t>Іноді виникають реакції у місці введення ін’єкції; можуть спостерігатися незначні набряки або почервоніння шкіри, які зникають без додаткового лікування.</w:t>
      </w:r>
    </w:p>
    <w:p w14:paraId="3C745107" w14:textId="379199A1" w:rsidR="00136FF1" w:rsidRPr="00136FF1" w:rsidRDefault="00373993" w:rsidP="00136FF1">
      <w:pPr>
        <w:jc w:val="both"/>
      </w:pPr>
      <w:r w:rsidRPr="00136FF1">
        <w:t>Після введення суміші вакцин Інгельвак ЦиркоФЛЕКС</w:t>
      </w:r>
      <w:r w:rsidRPr="00AD6222">
        <w:rPr>
          <w:vertAlign w:val="superscript"/>
        </w:rPr>
        <w:t>®</w:t>
      </w:r>
      <w:r w:rsidRPr="00136FF1">
        <w:t xml:space="preserve"> та Інгельвак РРССФЛЕКС</w:t>
      </w:r>
      <w:r w:rsidRPr="00AD6222">
        <w:rPr>
          <w:vertAlign w:val="superscript"/>
        </w:rPr>
        <w:t>®</w:t>
      </w:r>
      <w:r w:rsidRPr="00136FF1">
        <w:t xml:space="preserve"> ЄС можуть виникати перелічені нижче побічні реакції: в окремих свиней підвищення температури тіла після введення рідко перевищує 1,5°C, але залишається в межах підвищення на 2°C. Температура повертається до норми упродовж 1 доби після спостереження максимальної температури. Рідко повідомлялося про транзиторні місцеві реакції в місці ін'єкції, що обмежуються незначним почервонінням, відразу після вакцинації. Реакції зникають упродовж 1 доби. Після вакцинації спостерігалися реакції по типу підвищеної чутливості негайного типу легкого ступеня тяжкості. Вони спричиняли появу транзиторних клінічних ознак, наприклад блювання та </w:t>
      </w:r>
      <w:r w:rsidR="00B805A6">
        <w:rPr>
          <w:lang w:val="ru-RU"/>
        </w:rPr>
        <w:t>прискорене</w:t>
      </w:r>
      <w:r w:rsidR="00B805A6" w:rsidRPr="00136FF1">
        <w:t xml:space="preserve"> </w:t>
      </w:r>
      <w:r w:rsidRPr="00136FF1">
        <w:t xml:space="preserve">дихання, </w:t>
      </w:r>
    </w:p>
    <w:p w14:paraId="6ADECD64" w14:textId="2F2D7D9E" w:rsidR="00136FF1" w:rsidRPr="00136FF1" w:rsidRDefault="00136FF1" w:rsidP="00136FF1">
      <w:pPr>
        <w:ind w:left="6840"/>
      </w:pPr>
      <w:r w:rsidRPr="00136FF1">
        <w:lastRenderedPageBreak/>
        <w:t>Продовження додатку 1</w:t>
      </w:r>
    </w:p>
    <w:p w14:paraId="007A6533" w14:textId="43E73B30" w:rsidR="00136FF1" w:rsidRPr="00136FF1" w:rsidRDefault="00136FF1" w:rsidP="00136FF1">
      <w:pPr>
        <w:ind w:left="6840"/>
        <w:rPr>
          <w:bCs/>
        </w:rPr>
      </w:pPr>
      <w:r w:rsidRPr="00136FF1">
        <w:rPr>
          <w:bCs/>
        </w:rPr>
        <w:t>до реєстраційного посвідчення</w:t>
      </w:r>
    </w:p>
    <w:p w14:paraId="72891058" w14:textId="0D1589F9" w:rsidR="00136FF1" w:rsidRPr="00136FF1" w:rsidRDefault="00136FF1" w:rsidP="00136FF1">
      <w:pPr>
        <w:ind w:left="6840"/>
        <w:rPr>
          <w:bCs/>
        </w:rPr>
      </w:pPr>
      <w:r w:rsidRPr="00136FF1">
        <w:rPr>
          <w:bCs/>
        </w:rPr>
        <w:t>№ ВА-00779-02-15</w:t>
      </w:r>
    </w:p>
    <w:p w14:paraId="0F44F05E" w14:textId="01776D9B" w:rsidR="00136FF1" w:rsidRPr="00136FF1" w:rsidRDefault="00136FF1" w:rsidP="00136FF1">
      <w:pPr>
        <w:ind w:left="6840"/>
        <w:rPr>
          <w:bCs/>
        </w:rPr>
      </w:pPr>
      <w:r w:rsidRPr="00136FF1">
        <w:rPr>
          <w:bCs/>
        </w:rPr>
        <w:t xml:space="preserve">від </w:t>
      </w:r>
    </w:p>
    <w:p w14:paraId="44221725" w14:textId="5D2401DC" w:rsidR="00136FF1" w:rsidRPr="00136FF1" w:rsidRDefault="00136FF1" w:rsidP="00136FF1">
      <w:pPr>
        <w:jc w:val="both"/>
      </w:pPr>
    </w:p>
    <w:p w14:paraId="5BBE4E97" w14:textId="53D368D6" w:rsidR="00373993" w:rsidRPr="00136FF1" w:rsidRDefault="00373993" w:rsidP="00136FF1">
      <w:pPr>
        <w:jc w:val="both"/>
      </w:pPr>
      <w:r w:rsidRPr="00136FF1">
        <w:t>що самостійно минали упродовж декількох годин. Рідко спостерігалися випадки транзиторної зміни кольору шкіри на пурпурний, що самостійно минали. Належні запобіжні заходи для мінімізації стресу під час введення вакцини можуть знизити частоту реакцій по типу підвищеної чутливості.</w:t>
      </w:r>
    </w:p>
    <w:p w14:paraId="2ED9EDFE" w14:textId="673FD15C" w:rsidR="00F45F32" w:rsidRPr="00136FF1" w:rsidRDefault="00F45F32" w:rsidP="00136FF1">
      <w:pPr>
        <w:jc w:val="both"/>
        <w:rPr>
          <w:b/>
        </w:rPr>
      </w:pPr>
      <w:r w:rsidRPr="00136FF1">
        <w:rPr>
          <w:b/>
        </w:rPr>
        <w:t>5.5. Особливі застереження при використанні</w:t>
      </w:r>
    </w:p>
    <w:p w14:paraId="798BFBC4" w14:textId="77777777" w:rsidR="00F45F32" w:rsidRPr="00136FF1" w:rsidRDefault="00F45F32" w:rsidP="00136FF1">
      <w:pPr>
        <w:jc w:val="both"/>
        <w:rPr>
          <w:lang w:eastAsia="en-GB"/>
        </w:rPr>
      </w:pPr>
      <w:r w:rsidRPr="00136FF1">
        <w:rPr>
          <w:lang w:eastAsia="en-GB"/>
        </w:rPr>
        <w:t>Вакцинувати виключно клінічно здорових тварин.</w:t>
      </w:r>
    </w:p>
    <w:p w14:paraId="0A468DE2" w14:textId="67BF76F9" w:rsidR="00F45F32" w:rsidRPr="00136FF1" w:rsidRDefault="00F45F32" w:rsidP="00136FF1">
      <w:pPr>
        <w:pStyle w:val="Default"/>
        <w:jc w:val="both"/>
        <w:rPr>
          <w:color w:val="auto"/>
          <w:lang w:val="uk-UA"/>
        </w:rPr>
      </w:pPr>
      <w:r w:rsidRPr="00136FF1">
        <w:rPr>
          <w:color w:val="auto"/>
          <w:lang w:val="uk-UA"/>
        </w:rPr>
        <w:t xml:space="preserve">Слід </w:t>
      </w:r>
      <w:r w:rsidRPr="00136FF1">
        <w:rPr>
          <w:lang w:val="uk-UA"/>
        </w:rPr>
        <w:t xml:space="preserve">вживати </w:t>
      </w:r>
      <w:r w:rsidRPr="00136FF1">
        <w:rPr>
          <w:color w:val="auto"/>
          <w:lang w:val="uk-UA"/>
        </w:rPr>
        <w:t>запобіжні заходи, щоб не допустити поширення вакцинного штаму від вакцинованих тварин до невакцинованих тварин, які мають залишатися неінфікованими вірусом РРСС.</w:t>
      </w:r>
    </w:p>
    <w:p w14:paraId="4FBDDE5C" w14:textId="77777777" w:rsidR="00F45F32" w:rsidRPr="00136FF1" w:rsidRDefault="00F45F32" w:rsidP="00136FF1">
      <w:pPr>
        <w:pStyle w:val="Default"/>
        <w:jc w:val="both"/>
        <w:rPr>
          <w:lang w:val="uk-UA"/>
        </w:rPr>
      </w:pPr>
      <w:r w:rsidRPr="00136FF1">
        <w:rPr>
          <w:lang w:val="uk-UA"/>
        </w:rPr>
        <w:t xml:space="preserve">Для оптимальної програми контролю РРСС всі тварини в стаді повинні бути вакциновані. Для свиноматок рекомендується застосовувати вакцину </w:t>
      </w:r>
      <w:r w:rsidRPr="00136FF1">
        <w:rPr>
          <w:rFonts w:eastAsia="Times New Roman"/>
          <w:lang w:val="uk-UA" w:eastAsia="en-US"/>
        </w:rPr>
        <w:t>РепроЦик</w:t>
      </w:r>
      <w:r w:rsidRPr="00136FF1">
        <w:rPr>
          <w:rFonts w:eastAsia="Times New Roman"/>
          <w:vertAlign w:val="superscript"/>
          <w:lang w:val="uk-UA" w:eastAsia="en-US"/>
        </w:rPr>
        <w:t>®</w:t>
      </w:r>
      <w:r w:rsidRPr="00136FF1">
        <w:rPr>
          <w:rFonts w:eastAsia="Times New Roman"/>
          <w:lang w:val="uk-UA" w:eastAsia="en-US"/>
        </w:rPr>
        <w:t xml:space="preserve"> </w:t>
      </w:r>
      <w:r w:rsidRPr="00136FF1">
        <w:rPr>
          <w:lang w:val="uk-UA"/>
        </w:rPr>
        <w:t xml:space="preserve">РРСС </w:t>
      </w:r>
      <w:r w:rsidRPr="00136FF1">
        <w:rPr>
          <w:rFonts w:eastAsia="Times New Roman"/>
          <w:lang w:val="uk-UA" w:eastAsia="en-US"/>
        </w:rPr>
        <w:t xml:space="preserve">ЄС </w:t>
      </w:r>
      <w:r w:rsidRPr="00136FF1">
        <w:rPr>
          <w:lang w:val="uk-UA"/>
        </w:rPr>
        <w:t>на основі того ж вакцинного штаму (PRRSV 94881).</w:t>
      </w:r>
    </w:p>
    <w:p w14:paraId="42083F4C" w14:textId="77777777" w:rsidR="00F45F32" w:rsidRPr="00136FF1" w:rsidRDefault="00F45F32" w:rsidP="00136FF1">
      <w:pPr>
        <w:jc w:val="both"/>
      </w:pPr>
      <w:r w:rsidRPr="00136FF1">
        <w:rPr>
          <w:b/>
        </w:rPr>
        <w:t>5.6. Застосування  в період вагітності, лактації</w:t>
      </w:r>
    </w:p>
    <w:p w14:paraId="51711236" w14:textId="77777777" w:rsidR="00F45F32" w:rsidRPr="00136FF1" w:rsidRDefault="00F45F32" w:rsidP="00136FF1">
      <w:pPr>
        <w:jc w:val="both"/>
        <w:rPr>
          <w:b/>
        </w:rPr>
      </w:pPr>
      <w:r w:rsidRPr="00136FF1">
        <w:t>Даний ветеринарний засіб призначений для щеплення поросят, і тому безпечність застосування вакцини в період супоросності або лактації не була досліджена.</w:t>
      </w:r>
    </w:p>
    <w:p w14:paraId="33E71613" w14:textId="77777777" w:rsidR="00F45F32" w:rsidRPr="00136FF1" w:rsidRDefault="00F45F32" w:rsidP="00136FF1">
      <w:pPr>
        <w:jc w:val="both"/>
        <w:rPr>
          <w:b/>
        </w:rPr>
      </w:pPr>
      <w:r w:rsidRPr="00136FF1">
        <w:rPr>
          <w:b/>
        </w:rPr>
        <w:t>5.7. Взаємодія з іншими засобами та інші форми взаємодії</w:t>
      </w:r>
    </w:p>
    <w:p w14:paraId="4346A79A" w14:textId="77777777" w:rsidR="00373993" w:rsidRPr="00136FF1" w:rsidRDefault="00373993" w:rsidP="00136FF1">
      <w:pPr>
        <w:jc w:val="both"/>
      </w:pPr>
      <w:bookmarkStart w:id="1" w:name="_Hlk85710385"/>
      <w:r w:rsidRPr="00136FF1">
        <w:t>Отримані дані з безпе</w:t>
      </w:r>
      <w:r w:rsidR="008B1672" w:rsidRPr="00136FF1">
        <w:t>чності</w:t>
      </w:r>
      <w:r w:rsidRPr="00136FF1">
        <w:t xml:space="preserve"> та ефективності свідчать про те, що вакцину можна змішувати з вакциною Інгельвак ЦиркоФЛЕКС</w:t>
      </w:r>
      <w:r w:rsidRPr="00136FF1">
        <w:rPr>
          <w:vertAlign w:val="superscript"/>
        </w:rPr>
        <w:t>®</w:t>
      </w:r>
      <w:r w:rsidRPr="00136FF1">
        <w:t xml:space="preserve"> виробництва компанії Берінгер Інгельхайм та робити ін’єкцію в одне місце. </w:t>
      </w:r>
    </w:p>
    <w:p w14:paraId="08988A7A" w14:textId="77777777" w:rsidR="00373993" w:rsidRPr="00136FF1" w:rsidRDefault="00373993" w:rsidP="00136FF1">
      <w:pPr>
        <w:jc w:val="both"/>
      </w:pPr>
      <w:r w:rsidRPr="00136FF1">
        <w:t>Перед введенням вакцини Інгельвак ЦиркоФЛЕКС</w:t>
      </w:r>
      <w:r w:rsidRPr="00136FF1">
        <w:rPr>
          <w:vertAlign w:val="superscript"/>
        </w:rPr>
        <w:t>®</w:t>
      </w:r>
      <w:r w:rsidRPr="00136FF1">
        <w:t xml:space="preserve"> читайте листівку-вкладку до препаратів.</w:t>
      </w:r>
    </w:p>
    <w:bookmarkEnd w:id="1"/>
    <w:p w14:paraId="5F052164" w14:textId="77777777" w:rsidR="00F45F32" w:rsidRPr="00136FF1" w:rsidRDefault="00F45F32" w:rsidP="00136FF1">
      <w:pPr>
        <w:jc w:val="both"/>
        <w:rPr>
          <w:lang w:eastAsia="en-US"/>
        </w:rPr>
      </w:pPr>
      <w:r w:rsidRPr="00136FF1">
        <w:t>Інформація щодо безпечності та ефективності вакцини за умови її застосування разом з іншими ветеринарними препаратами</w:t>
      </w:r>
      <w:r w:rsidR="00373993" w:rsidRPr="00136FF1">
        <w:t xml:space="preserve">, </w:t>
      </w:r>
      <w:bookmarkStart w:id="2" w:name="_Hlk85710419"/>
      <w:r w:rsidR="00373993" w:rsidRPr="00136FF1">
        <w:t>окрім зазначеного вище,</w:t>
      </w:r>
      <w:bookmarkEnd w:id="2"/>
      <w:r w:rsidRPr="00136FF1">
        <w:t xml:space="preserve"> відсутня. Тому рішення щодо застосування цієї вакцини перед введенням будь-якого іншого ветеринарного засобу або після нього необхідно приймати в кожному окремому випадку.</w:t>
      </w:r>
    </w:p>
    <w:p w14:paraId="62DEE692" w14:textId="77777777" w:rsidR="00F45F32" w:rsidRPr="00136FF1" w:rsidRDefault="00F45F32" w:rsidP="00136FF1">
      <w:pPr>
        <w:jc w:val="both"/>
        <w:rPr>
          <w:b/>
          <w:bCs/>
        </w:rPr>
      </w:pPr>
      <w:r w:rsidRPr="00136FF1">
        <w:rPr>
          <w:b/>
        </w:rPr>
        <w:t xml:space="preserve">5.8. </w:t>
      </w:r>
      <w:r w:rsidRPr="00136FF1">
        <w:rPr>
          <w:b/>
          <w:bCs/>
        </w:rPr>
        <w:t>Дози і способи введення тваринам різного віку</w:t>
      </w:r>
    </w:p>
    <w:p w14:paraId="1C4068CD" w14:textId="7C9ABBE3" w:rsidR="00F45F32" w:rsidRPr="00136FF1" w:rsidRDefault="00F45F32" w:rsidP="00136FF1">
      <w:pPr>
        <w:jc w:val="both"/>
      </w:pPr>
      <w:r w:rsidRPr="00136FF1">
        <w:t xml:space="preserve">Вакцину вводять внутрішньом’язово </w:t>
      </w:r>
      <w:r w:rsidRPr="00136FF1">
        <w:rPr>
          <w:lang w:eastAsia="uk-UA"/>
        </w:rPr>
        <w:t xml:space="preserve">в ділянку шиї за вухом </w:t>
      </w:r>
      <w:r w:rsidRPr="00136FF1">
        <w:t xml:space="preserve">однократно у дозі 1 </w:t>
      </w:r>
      <w:r w:rsidR="00B4571F" w:rsidRPr="007A3949">
        <w:t>мл</w:t>
      </w:r>
      <w:r w:rsidRPr="00136FF1">
        <w:t xml:space="preserve"> незалежно від ваги тіла тварини. </w:t>
      </w:r>
    </w:p>
    <w:p w14:paraId="6E013A51" w14:textId="77777777" w:rsidR="00F45F32" w:rsidRPr="00136FF1" w:rsidRDefault="00F45F32" w:rsidP="00136FF1">
      <w:pPr>
        <w:jc w:val="both"/>
      </w:pPr>
      <w:r w:rsidRPr="00136FF1">
        <w:t xml:space="preserve">Розчинити ліофілізат, додавши повний об’єм розчинника до флакону з вакциною. </w:t>
      </w:r>
    </w:p>
    <w:p w14:paraId="402717F5" w14:textId="77777777" w:rsidR="00F45F32" w:rsidRPr="00136FF1" w:rsidRDefault="00F45F32" w:rsidP="00136FF1">
      <w:pPr>
        <w:jc w:val="both"/>
      </w:pPr>
      <w:r w:rsidRPr="00136FF1">
        <w:t xml:space="preserve">Перед використанням слід переконатися, що ліофілізат повністю розчинився. </w:t>
      </w:r>
      <w:bookmarkStart w:id="3" w:name="_Hlk85710457"/>
      <w:r w:rsidR="00373993" w:rsidRPr="00136FF1">
        <w:t>Зовнішній вигляд вакцини після розчинення: прозора безбарвна суспензія.</w:t>
      </w:r>
    </w:p>
    <w:bookmarkEnd w:id="3"/>
    <w:p w14:paraId="36CEE673" w14:textId="77777777" w:rsidR="00F45F32" w:rsidRPr="00136FF1" w:rsidRDefault="00F45F32" w:rsidP="00136FF1">
      <w:pPr>
        <w:jc w:val="both"/>
      </w:pPr>
      <w:r w:rsidRPr="00136FF1">
        <w:t>Уникайте контамінації під час застосування вакцини.</w:t>
      </w:r>
    </w:p>
    <w:p w14:paraId="4CC46957" w14:textId="37442538" w:rsidR="00F45F32" w:rsidRPr="00AD6222" w:rsidRDefault="00F45F32" w:rsidP="00136FF1">
      <w:pPr>
        <w:jc w:val="both"/>
        <w:rPr>
          <w:lang w:val="ru-RU"/>
        </w:rPr>
      </w:pPr>
      <w:r w:rsidRPr="00136FF1">
        <w:t xml:space="preserve">Використовуйте стерильне обладнання. Уникайте багаторазового проколювання флакону з вакциною. </w:t>
      </w:r>
    </w:p>
    <w:p w14:paraId="260A0839" w14:textId="77777777" w:rsidR="0089391E" w:rsidRPr="00136FF1" w:rsidRDefault="0089391E" w:rsidP="00136FF1">
      <w:pPr>
        <w:jc w:val="both"/>
        <w:rPr>
          <w:rFonts w:eastAsia="MS Mincho"/>
          <w:i/>
          <w:iCs/>
          <w:noProof/>
          <w:lang w:eastAsia="en-US"/>
        </w:rPr>
      </w:pPr>
      <w:bookmarkStart w:id="4" w:name="_Hlk85710493"/>
      <w:r w:rsidRPr="00136FF1">
        <w:rPr>
          <w:rFonts w:eastAsia="MS Mincho"/>
          <w:i/>
          <w:iCs/>
          <w:noProof/>
          <w:lang w:eastAsia="en-US"/>
        </w:rPr>
        <w:t xml:space="preserve">У разі змішування з вакциною </w:t>
      </w:r>
      <w:bookmarkStart w:id="5" w:name="_Hlk84501866"/>
      <w:r w:rsidRPr="00136FF1">
        <w:rPr>
          <w:rFonts w:eastAsia="MS Mincho"/>
          <w:i/>
          <w:iCs/>
          <w:noProof/>
          <w:lang w:eastAsia="en-US"/>
        </w:rPr>
        <w:t>Інгельвак ЦиркоФЛЕКС</w:t>
      </w:r>
      <w:r w:rsidRPr="00136FF1">
        <w:rPr>
          <w:rFonts w:eastAsia="MS Mincho"/>
          <w:i/>
          <w:iCs/>
          <w:noProof/>
          <w:vertAlign w:val="superscript"/>
          <w:lang w:eastAsia="en-US"/>
        </w:rPr>
        <w:t>®</w:t>
      </w:r>
      <w:bookmarkEnd w:id="5"/>
      <w:r w:rsidRPr="00136FF1">
        <w:rPr>
          <w:rFonts w:eastAsia="MS Mincho"/>
          <w:i/>
          <w:iCs/>
          <w:noProof/>
          <w:lang w:eastAsia="en-US"/>
        </w:rPr>
        <w:t xml:space="preserve">: </w:t>
      </w:r>
    </w:p>
    <w:p w14:paraId="69EA2F79" w14:textId="77777777" w:rsidR="0089391E" w:rsidRPr="00136FF1" w:rsidRDefault="0089391E" w:rsidP="00136FF1">
      <w:pPr>
        <w:jc w:val="both"/>
        <w:rPr>
          <w:rFonts w:eastAsia="MS Mincho"/>
          <w:lang w:val="ru-RU" w:eastAsia="en-US"/>
        </w:rPr>
      </w:pPr>
      <w:r w:rsidRPr="00136FF1">
        <w:rPr>
          <w:rFonts w:eastAsia="MS Mincho"/>
          <w:noProof/>
          <w:lang w:eastAsia="en-US"/>
        </w:rPr>
        <w:t>• Вакцинувати лише поросят віком від 17 діб.</w:t>
      </w:r>
      <w:r w:rsidRPr="00136FF1">
        <w:rPr>
          <w:rFonts w:eastAsia="MS Mincho"/>
          <w:lang w:val="ru-RU" w:eastAsia="en-US"/>
        </w:rPr>
        <w:t xml:space="preserve"> </w:t>
      </w:r>
    </w:p>
    <w:p w14:paraId="582C1AB5" w14:textId="77777777" w:rsidR="0089391E" w:rsidRPr="00136FF1" w:rsidRDefault="0089391E" w:rsidP="00136FF1">
      <w:pPr>
        <w:jc w:val="both"/>
        <w:rPr>
          <w:rFonts w:eastAsia="MS Mincho"/>
          <w:lang w:eastAsia="en-US"/>
        </w:rPr>
      </w:pPr>
      <w:r w:rsidRPr="00136FF1">
        <w:rPr>
          <w:rFonts w:eastAsia="MS Mincho"/>
          <w:lang w:eastAsia="en-US"/>
        </w:rPr>
        <w:t>• Не застосовувати супоросним та латкуючим свиноматкам.</w:t>
      </w:r>
    </w:p>
    <w:p w14:paraId="1B488BAA" w14:textId="77777777" w:rsidR="0089391E" w:rsidRPr="00136FF1" w:rsidRDefault="0089391E" w:rsidP="00136FF1">
      <w:pPr>
        <w:jc w:val="both"/>
        <w:rPr>
          <w:rFonts w:eastAsia="MS Mincho"/>
          <w:i/>
          <w:noProof/>
          <w:lang w:eastAsia="en-US"/>
        </w:rPr>
      </w:pPr>
      <w:r w:rsidRPr="00136FF1">
        <w:rPr>
          <w:rFonts w:eastAsia="MS Mincho"/>
          <w:i/>
          <w:noProof/>
          <w:lang w:eastAsia="en-US"/>
        </w:rPr>
        <w:t xml:space="preserve">При змішуванні з </w:t>
      </w:r>
      <w:r w:rsidRPr="00136FF1">
        <w:rPr>
          <w:rFonts w:eastAsia="MS Mincho"/>
          <w:i/>
          <w:noProof/>
          <w:spacing w:val="-1"/>
          <w:lang w:eastAsia="en-US"/>
        </w:rPr>
        <w:t>вакциною</w:t>
      </w:r>
      <w:r w:rsidRPr="00136FF1">
        <w:t xml:space="preserve"> </w:t>
      </w:r>
      <w:r w:rsidRPr="00136FF1">
        <w:rPr>
          <w:rFonts w:eastAsia="MS Mincho"/>
          <w:i/>
          <w:iCs/>
          <w:noProof/>
          <w:lang w:eastAsia="en-US"/>
        </w:rPr>
        <w:t>Інгельвак ЦиркоФЛЕКС</w:t>
      </w:r>
      <w:r w:rsidRPr="00136FF1">
        <w:rPr>
          <w:rFonts w:eastAsia="MS Mincho"/>
          <w:i/>
          <w:iCs/>
          <w:noProof/>
          <w:vertAlign w:val="superscript"/>
          <w:lang w:eastAsia="en-US"/>
        </w:rPr>
        <w:t>®</w:t>
      </w:r>
      <w:r w:rsidRPr="00136FF1">
        <w:rPr>
          <w:rFonts w:eastAsia="MS Mincho"/>
          <w:i/>
          <w:iCs/>
          <w:noProof/>
          <w:lang w:eastAsia="en-US"/>
        </w:rPr>
        <w:t xml:space="preserve"> </w:t>
      </w:r>
      <w:r w:rsidRPr="00136FF1">
        <w:rPr>
          <w:rFonts w:eastAsia="MS Mincho"/>
          <w:i/>
          <w:noProof/>
          <w:lang w:eastAsia="en-US"/>
        </w:rPr>
        <w:t>слід застосовувати наступне обладнання:</w:t>
      </w:r>
    </w:p>
    <w:p w14:paraId="4922B5D3" w14:textId="77777777" w:rsidR="0089391E" w:rsidRPr="00136FF1" w:rsidRDefault="0089391E" w:rsidP="00136FF1">
      <w:pPr>
        <w:jc w:val="both"/>
        <w:rPr>
          <w:rFonts w:eastAsia="MS Mincho"/>
          <w:noProof/>
          <w:lang w:eastAsia="en-US"/>
        </w:rPr>
      </w:pPr>
      <w:r w:rsidRPr="00136FF1">
        <w:rPr>
          <w:rFonts w:eastAsia="Calibri"/>
          <w:lang w:eastAsia="en-US" w:bidi="th-TH"/>
        </w:rPr>
        <w:t>• Використовуйте упаковки з однаковим об’ємом вакцини Інгельвак ЦиркоФЛЕКС</w:t>
      </w:r>
      <w:r w:rsidRPr="00136FF1">
        <w:rPr>
          <w:rFonts w:eastAsia="Calibri"/>
          <w:vertAlign w:val="superscript"/>
          <w:lang w:eastAsia="en-US" w:bidi="th-TH"/>
        </w:rPr>
        <w:t>®</w:t>
      </w:r>
      <w:r w:rsidRPr="00136FF1">
        <w:rPr>
          <w:rFonts w:eastAsia="Calibri"/>
          <w:lang w:eastAsia="en-US" w:bidi="th-TH"/>
        </w:rPr>
        <w:t xml:space="preserve"> та </w:t>
      </w:r>
      <w:r w:rsidRPr="00136FF1">
        <w:rPr>
          <w:rFonts w:eastAsia="MS Mincho"/>
          <w:noProof/>
          <w:lang w:eastAsia="en-US"/>
        </w:rPr>
        <w:t>Інгельвак РРССФЛЕКС</w:t>
      </w:r>
      <w:r w:rsidRPr="00136FF1">
        <w:rPr>
          <w:rFonts w:eastAsia="MS Mincho"/>
          <w:noProof/>
          <w:vertAlign w:val="superscript"/>
          <w:lang w:eastAsia="en-US"/>
        </w:rPr>
        <w:t>®</w:t>
      </w:r>
      <w:r w:rsidRPr="00136FF1">
        <w:rPr>
          <w:rFonts w:eastAsia="MS Mincho"/>
          <w:noProof/>
          <w:lang w:eastAsia="en-US"/>
        </w:rPr>
        <w:t xml:space="preserve"> ЄС.</w:t>
      </w:r>
    </w:p>
    <w:p w14:paraId="53A63AEA" w14:textId="77777777" w:rsidR="0089391E" w:rsidRPr="00136FF1" w:rsidRDefault="0089391E" w:rsidP="00136FF1">
      <w:pPr>
        <w:jc w:val="both"/>
        <w:rPr>
          <w:rFonts w:eastAsia="Calibri"/>
          <w:lang w:eastAsia="en-US" w:bidi="th-TH"/>
        </w:rPr>
      </w:pPr>
      <w:r w:rsidRPr="00136FF1">
        <w:rPr>
          <w:rFonts w:eastAsia="Calibri"/>
          <w:lang w:eastAsia="en-US" w:bidi="th-TH"/>
        </w:rPr>
        <w:t>• У такому разі вакцина Інгельвак ЦиркоФЛЕКС</w:t>
      </w:r>
      <w:r w:rsidRPr="00136FF1">
        <w:rPr>
          <w:rFonts w:eastAsia="Calibri"/>
          <w:vertAlign w:val="superscript"/>
          <w:lang w:eastAsia="en-US" w:bidi="th-TH"/>
        </w:rPr>
        <w:t>®</w:t>
      </w:r>
      <w:r w:rsidRPr="00136FF1">
        <w:rPr>
          <w:rFonts w:eastAsia="Calibri"/>
          <w:lang w:eastAsia="en-US" w:bidi="th-TH"/>
        </w:rPr>
        <w:t xml:space="preserve"> використовується замість розчинника до вакцини </w:t>
      </w:r>
      <w:r w:rsidRPr="00136FF1">
        <w:rPr>
          <w:rFonts w:eastAsia="MS Mincho"/>
          <w:lang w:eastAsia="en-US"/>
        </w:rPr>
        <w:t>Інгельвак РРССФЛЕКС</w:t>
      </w:r>
      <w:r w:rsidRPr="00136FF1">
        <w:rPr>
          <w:rFonts w:eastAsia="MS Mincho"/>
          <w:vertAlign w:val="superscript"/>
          <w:lang w:eastAsia="en-US"/>
        </w:rPr>
        <w:t>®</w:t>
      </w:r>
      <w:r w:rsidRPr="00136FF1">
        <w:rPr>
          <w:rFonts w:eastAsia="MS Mincho"/>
          <w:lang w:eastAsia="en-US"/>
        </w:rPr>
        <w:t xml:space="preserve"> ЄС</w:t>
      </w:r>
    </w:p>
    <w:p w14:paraId="2B2F05FD" w14:textId="77777777" w:rsidR="0089391E" w:rsidRPr="00136FF1" w:rsidRDefault="0089391E" w:rsidP="00136FF1">
      <w:pPr>
        <w:jc w:val="both"/>
        <w:rPr>
          <w:rFonts w:eastAsia="MS Mincho"/>
          <w:iCs/>
          <w:noProof/>
          <w:lang w:eastAsia="en-US"/>
        </w:rPr>
      </w:pPr>
      <w:r w:rsidRPr="00136FF1">
        <w:rPr>
          <w:rFonts w:eastAsia="MS Mincho"/>
          <w:iCs/>
          <w:noProof/>
          <w:lang w:eastAsia="en-US"/>
        </w:rPr>
        <w:t>• Використовуйте трансферні голки для перенесення вакцини, які можна придбати у постачальника медичного обладнання.</w:t>
      </w:r>
    </w:p>
    <w:p w14:paraId="5EDABEE9" w14:textId="77777777" w:rsidR="0089391E" w:rsidRPr="00136FF1" w:rsidRDefault="0089391E" w:rsidP="00136FF1">
      <w:pPr>
        <w:jc w:val="both"/>
        <w:rPr>
          <w:rFonts w:eastAsia="MS Mincho"/>
          <w:i/>
          <w:noProof/>
          <w:lang w:eastAsia="en-US"/>
        </w:rPr>
      </w:pPr>
      <w:r w:rsidRPr="00136FF1">
        <w:rPr>
          <w:rFonts w:eastAsia="MS Mincho"/>
          <w:i/>
          <w:noProof/>
          <w:lang w:eastAsia="en-US"/>
        </w:rPr>
        <w:t>Для забезпечення належного змішування дотримуйтесь описаних нижче кроків:</w:t>
      </w:r>
    </w:p>
    <w:p w14:paraId="08DAEC94" w14:textId="77777777" w:rsidR="0089391E" w:rsidRPr="00136FF1" w:rsidRDefault="0089391E" w:rsidP="00AD6222">
      <w:pPr>
        <w:numPr>
          <w:ilvl w:val="0"/>
          <w:numId w:val="2"/>
        </w:numPr>
        <w:ind w:left="270" w:hanging="270"/>
        <w:jc w:val="both"/>
        <w:rPr>
          <w:rFonts w:eastAsia="MS Mincho"/>
          <w:iCs/>
          <w:noProof/>
          <w:lang w:eastAsia="en-US"/>
        </w:rPr>
      </w:pPr>
      <w:r w:rsidRPr="00136FF1">
        <w:rPr>
          <w:rFonts w:eastAsia="MS Mincho"/>
          <w:iCs/>
          <w:noProof/>
          <w:lang w:eastAsia="en-US"/>
        </w:rPr>
        <w:t xml:space="preserve">Під’єднайте один кінець трансферної голки до флакону з вакциною </w:t>
      </w:r>
      <w:r w:rsidRPr="00136FF1">
        <w:rPr>
          <w:rFonts w:eastAsia="Calibri"/>
          <w:lang w:eastAsia="en-US" w:bidi="th-TH"/>
        </w:rPr>
        <w:t>Інгельвак ЦиркоФЛЕКС</w:t>
      </w:r>
      <w:r w:rsidRPr="00136FF1">
        <w:rPr>
          <w:rFonts w:eastAsia="Calibri"/>
          <w:vertAlign w:val="superscript"/>
          <w:lang w:eastAsia="en-US" w:bidi="th-TH"/>
        </w:rPr>
        <w:t>®</w:t>
      </w:r>
      <w:r w:rsidRPr="00136FF1">
        <w:rPr>
          <w:rFonts w:eastAsia="MS Mincho"/>
          <w:iCs/>
          <w:noProof/>
          <w:lang w:eastAsia="en-US"/>
        </w:rPr>
        <w:t>.</w:t>
      </w:r>
    </w:p>
    <w:p w14:paraId="51B2ADE0" w14:textId="77777777" w:rsidR="0089391E" w:rsidRPr="00136FF1" w:rsidRDefault="0089391E" w:rsidP="00AD6222">
      <w:pPr>
        <w:numPr>
          <w:ilvl w:val="0"/>
          <w:numId w:val="2"/>
        </w:numPr>
        <w:ind w:left="270" w:hanging="270"/>
        <w:jc w:val="both"/>
        <w:rPr>
          <w:rFonts w:eastAsia="MS Mincho"/>
          <w:iCs/>
          <w:noProof/>
          <w:lang w:eastAsia="en-US"/>
        </w:rPr>
      </w:pPr>
      <w:r w:rsidRPr="00136FF1">
        <w:rPr>
          <w:rFonts w:eastAsia="MS Mincho"/>
          <w:iCs/>
          <w:noProof/>
          <w:lang w:eastAsia="en-US"/>
        </w:rPr>
        <w:t xml:space="preserve">До протилежного кінця голки під’єднайте флакон з вакциною </w:t>
      </w:r>
      <w:r w:rsidRPr="00136FF1">
        <w:rPr>
          <w:rFonts w:eastAsia="MS Mincho"/>
          <w:lang w:eastAsia="en-US"/>
        </w:rPr>
        <w:t>Інгельвак РРССФЛЕКС</w:t>
      </w:r>
      <w:r w:rsidRPr="00136FF1">
        <w:rPr>
          <w:rFonts w:eastAsia="MS Mincho"/>
          <w:vertAlign w:val="superscript"/>
          <w:lang w:eastAsia="en-US"/>
        </w:rPr>
        <w:t>®</w:t>
      </w:r>
      <w:r w:rsidRPr="00136FF1">
        <w:rPr>
          <w:rFonts w:eastAsia="MS Mincho"/>
          <w:lang w:eastAsia="en-US"/>
        </w:rPr>
        <w:t xml:space="preserve"> ЄС.</w:t>
      </w:r>
    </w:p>
    <w:p w14:paraId="4EC5487C" w14:textId="201A039A" w:rsidR="0089391E" w:rsidRPr="00136FF1" w:rsidRDefault="0089391E" w:rsidP="00AD6222">
      <w:pPr>
        <w:numPr>
          <w:ilvl w:val="0"/>
          <w:numId w:val="2"/>
        </w:numPr>
        <w:ind w:left="270" w:hanging="270"/>
        <w:jc w:val="both"/>
        <w:rPr>
          <w:rFonts w:eastAsia="MS Mincho"/>
          <w:iCs/>
          <w:noProof/>
          <w:lang w:eastAsia="en-US"/>
        </w:rPr>
      </w:pPr>
      <w:r w:rsidRPr="00136FF1">
        <w:rPr>
          <w:rFonts w:eastAsia="MS Mincho"/>
          <w:iCs/>
          <w:noProof/>
          <w:lang w:eastAsia="en-US"/>
        </w:rPr>
        <w:t>Вміст флакону з вакциною Інгельвак ЦиркоФЛЕКС</w:t>
      </w:r>
      <w:r w:rsidRPr="00136FF1">
        <w:rPr>
          <w:rFonts w:eastAsia="MS Mincho"/>
          <w:iCs/>
          <w:noProof/>
          <w:vertAlign w:val="superscript"/>
          <w:lang w:eastAsia="en-US"/>
        </w:rPr>
        <w:t>®</w:t>
      </w:r>
      <w:r w:rsidRPr="00136FF1">
        <w:rPr>
          <w:rFonts w:eastAsia="MS Mincho"/>
          <w:iCs/>
          <w:noProof/>
          <w:lang w:eastAsia="en-US"/>
        </w:rPr>
        <w:t xml:space="preserve"> перелити до флакону з вакциною </w:t>
      </w:r>
      <w:r w:rsidRPr="00136FF1">
        <w:rPr>
          <w:rFonts w:eastAsia="MS Mincho"/>
          <w:lang w:eastAsia="en-US"/>
        </w:rPr>
        <w:t>Інгельвак РРССФЛЕКС</w:t>
      </w:r>
      <w:r w:rsidRPr="00136FF1">
        <w:rPr>
          <w:rFonts w:eastAsia="MS Mincho"/>
          <w:vertAlign w:val="superscript"/>
          <w:lang w:eastAsia="en-US"/>
        </w:rPr>
        <w:t>®</w:t>
      </w:r>
      <w:r w:rsidRPr="00136FF1">
        <w:rPr>
          <w:rFonts w:eastAsia="MS Mincho"/>
          <w:lang w:eastAsia="en-US"/>
        </w:rPr>
        <w:t xml:space="preserve"> ЄС. За необхідності обережно натисніть на флакон з вакциною Інгельвак ЦиркоФЛЕКС</w:t>
      </w:r>
      <w:r w:rsidRPr="00136FF1">
        <w:rPr>
          <w:rFonts w:eastAsia="MS Mincho"/>
          <w:vertAlign w:val="superscript"/>
          <w:lang w:eastAsia="en-US"/>
        </w:rPr>
        <w:t>®</w:t>
      </w:r>
      <w:r w:rsidRPr="00136FF1">
        <w:rPr>
          <w:rFonts w:eastAsia="MS Mincho"/>
          <w:lang w:eastAsia="en-US"/>
        </w:rPr>
        <w:t xml:space="preserve"> для  полегшення перенесення. Після перетікання усього вмісту вакцини Інгельвак ЦиркоФЛЕКС</w:t>
      </w:r>
      <w:r w:rsidRPr="00136FF1">
        <w:rPr>
          <w:rFonts w:eastAsia="MS Mincho"/>
          <w:vertAlign w:val="superscript"/>
          <w:lang w:eastAsia="en-US"/>
        </w:rPr>
        <w:t>®</w:t>
      </w:r>
      <w:r w:rsidRPr="00136FF1">
        <w:rPr>
          <w:rFonts w:eastAsia="MS Mincho"/>
          <w:lang w:eastAsia="en-US"/>
        </w:rPr>
        <w:t xml:space="preserve"> від'єднайте голку, а також порожній флакон з вакциною Інгельвак ЦиркоФЛЕКС</w:t>
      </w:r>
      <w:r w:rsidRPr="00136FF1">
        <w:rPr>
          <w:rFonts w:eastAsia="MS Mincho"/>
          <w:vertAlign w:val="superscript"/>
          <w:lang w:eastAsia="en-US"/>
        </w:rPr>
        <w:t>®</w:t>
      </w:r>
      <w:r w:rsidRPr="00136FF1">
        <w:rPr>
          <w:rFonts w:eastAsia="MS Mincho"/>
          <w:lang w:eastAsia="en-US"/>
        </w:rPr>
        <w:t xml:space="preserve"> та утилізуйте їх.</w:t>
      </w:r>
    </w:p>
    <w:p w14:paraId="2108ED7C" w14:textId="6E8B6CE9" w:rsidR="00136FF1" w:rsidRDefault="00136FF1" w:rsidP="00136FF1">
      <w:pPr>
        <w:ind w:left="270" w:hanging="270"/>
        <w:rPr>
          <w:rFonts w:eastAsia="MS Mincho"/>
          <w:lang w:eastAsia="en-US"/>
        </w:rPr>
      </w:pPr>
    </w:p>
    <w:p w14:paraId="630CEC9D" w14:textId="18D667EC" w:rsidR="00136FF1" w:rsidRPr="00136FF1" w:rsidRDefault="00136FF1" w:rsidP="00136FF1">
      <w:pPr>
        <w:ind w:left="6840"/>
      </w:pPr>
      <w:r w:rsidRPr="00136FF1">
        <w:lastRenderedPageBreak/>
        <w:t>Продовження додатку 1</w:t>
      </w:r>
    </w:p>
    <w:p w14:paraId="01DE31DC" w14:textId="405E7602" w:rsidR="00136FF1" w:rsidRPr="00136FF1" w:rsidRDefault="00136FF1" w:rsidP="00136FF1">
      <w:pPr>
        <w:ind w:left="6840"/>
        <w:rPr>
          <w:bCs/>
        </w:rPr>
      </w:pPr>
      <w:r w:rsidRPr="00136FF1">
        <w:rPr>
          <w:bCs/>
        </w:rPr>
        <w:t>до реєстраційного посвідчення</w:t>
      </w:r>
    </w:p>
    <w:p w14:paraId="442B6AD6" w14:textId="3EF9E3F4" w:rsidR="00136FF1" w:rsidRPr="00136FF1" w:rsidRDefault="00136FF1" w:rsidP="00136FF1">
      <w:pPr>
        <w:ind w:left="6840"/>
        <w:rPr>
          <w:bCs/>
        </w:rPr>
      </w:pPr>
      <w:r w:rsidRPr="00136FF1">
        <w:rPr>
          <w:bCs/>
        </w:rPr>
        <w:t>№ ВА-00779-02-15</w:t>
      </w:r>
    </w:p>
    <w:p w14:paraId="50AE6A23" w14:textId="45B525D5" w:rsidR="00136FF1" w:rsidRPr="00136FF1" w:rsidRDefault="00136FF1" w:rsidP="00136FF1">
      <w:pPr>
        <w:ind w:left="6840"/>
        <w:rPr>
          <w:bCs/>
        </w:rPr>
      </w:pPr>
      <w:r w:rsidRPr="00136FF1">
        <w:rPr>
          <w:bCs/>
        </w:rPr>
        <w:t xml:space="preserve">від </w:t>
      </w:r>
    </w:p>
    <w:p w14:paraId="75DE0FB1" w14:textId="28A2338E" w:rsidR="00136FF1" w:rsidRPr="00136FF1" w:rsidRDefault="00136FF1" w:rsidP="00136FF1">
      <w:pPr>
        <w:ind w:left="270" w:hanging="270"/>
        <w:rPr>
          <w:rFonts w:eastAsia="MS Mincho"/>
          <w:iCs/>
          <w:noProof/>
          <w:lang w:eastAsia="en-US"/>
        </w:rPr>
      </w:pPr>
    </w:p>
    <w:p w14:paraId="017A9C49" w14:textId="77777777" w:rsidR="0089391E" w:rsidRPr="00136FF1" w:rsidRDefault="0089391E" w:rsidP="00AD6222">
      <w:pPr>
        <w:numPr>
          <w:ilvl w:val="0"/>
          <w:numId w:val="2"/>
        </w:numPr>
        <w:ind w:left="270" w:hanging="270"/>
        <w:jc w:val="both"/>
        <w:rPr>
          <w:rFonts w:eastAsia="MS Mincho"/>
          <w:iCs/>
          <w:noProof/>
          <w:lang w:eastAsia="en-US"/>
        </w:rPr>
      </w:pPr>
      <w:r w:rsidRPr="00136FF1">
        <w:rPr>
          <w:rFonts w:eastAsia="MS Mincho"/>
          <w:iCs/>
          <w:noProof/>
          <w:lang w:eastAsia="en-US"/>
        </w:rPr>
        <w:t xml:space="preserve">Для забезпечення належного змішування вакцин, обережно струсніть флакон з вакциною </w:t>
      </w:r>
      <w:r w:rsidRPr="00136FF1">
        <w:rPr>
          <w:rFonts w:eastAsia="MS Mincho"/>
          <w:lang w:eastAsia="en-US"/>
        </w:rPr>
        <w:t>Інгельвак РРССФЛЕКС</w:t>
      </w:r>
      <w:r w:rsidRPr="00136FF1">
        <w:rPr>
          <w:rFonts w:eastAsia="MS Mincho"/>
          <w:vertAlign w:val="superscript"/>
          <w:lang w:eastAsia="en-US"/>
        </w:rPr>
        <w:t>®</w:t>
      </w:r>
      <w:r w:rsidRPr="00136FF1">
        <w:rPr>
          <w:rFonts w:eastAsia="MS Mincho"/>
          <w:lang w:eastAsia="en-US"/>
        </w:rPr>
        <w:t xml:space="preserve"> ЄС</w:t>
      </w:r>
      <w:r w:rsidRPr="00136FF1">
        <w:rPr>
          <w:rFonts w:eastAsia="MS Mincho"/>
          <w:iCs/>
          <w:noProof/>
          <w:lang w:eastAsia="en-US"/>
        </w:rPr>
        <w:t xml:space="preserve"> доки ліофілізат не розчиниться повністю. </w:t>
      </w:r>
    </w:p>
    <w:p w14:paraId="57CA4AD3" w14:textId="0A8FEDC5" w:rsidR="0089391E" w:rsidRPr="00136FF1" w:rsidRDefault="0089391E" w:rsidP="00AD6222">
      <w:pPr>
        <w:numPr>
          <w:ilvl w:val="0"/>
          <w:numId w:val="2"/>
        </w:numPr>
        <w:ind w:left="270" w:hanging="270"/>
        <w:jc w:val="both"/>
        <w:rPr>
          <w:rFonts w:eastAsia="MS Mincho"/>
          <w:iCs/>
          <w:noProof/>
          <w:lang w:eastAsia="en-US"/>
        </w:rPr>
      </w:pPr>
      <w:r w:rsidRPr="00136FF1">
        <w:rPr>
          <w:rFonts w:eastAsia="MS Mincho"/>
          <w:iCs/>
          <w:noProof/>
          <w:lang w:eastAsia="en-US"/>
        </w:rPr>
        <w:t xml:space="preserve">Уведіть внутрішньом’язово одну ін’єкційну дозу (1 </w:t>
      </w:r>
      <w:r w:rsidR="00B4571F" w:rsidRPr="007A3949">
        <w:t>мл</w:t>
      </w:r>
      <w:r w:rsidRPr="00136FF1">
        <w:rPr>
          <w:rFonts w:eastAsia="MS Mincho"/>
          <w:iCs/>
          <w:noProof/>
          <w:lang w:eastAsia="en-US"/>
        </w:rPr>
        <w:t>) суміші вакцин з розрахунку на свиню, незалежно від ваги тіла. Під час введення використовуйте пристрої для вакцинації згідно з інструкцією, наданою виробником.</w:t>
      </w:r>
    </w:p>
    <w:p w14:paraId="06A5643D" w14:textId="66DD6B2F" w:rsidR="0089391E" w:rsidRPr="00136FF1" w:rsidRDefault="006A39CB" w:rsidP="00136FF1">
      <w:pPr>
        <w:ind w:left="360"/>
        <w:rPr>
          <w:rFonts w:eastAsia="MS Mincho"/>
          <w:iCs/>
          <w:noProof/>
          <w:lang w:eastAsia="en-US"/>
        </w:rPr>
      </w:pPr>
      <w:r w:rsidRPr="00136FF1">
        <w:rPr>
          <w:rFonts w:eastAsia="MS Mincho"/>
          <w:iCs/>
          <w:noProof/>
          <w:lang w:eastAsia="en-US"/>
        </w:rPr>
        <w:drawing>
          <wp:inline distT="0" distB="0" distL="0" distR="0" wp14:anchorId="4985920B" wp14:editId="00F8E107">
            <wp:extent cx="5508625" cy="1160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8625" cy="1160145"/>
                    </a:xfrm>
                    <a:prstGeom prst="rect">
                      <a:avLst/>
                    </a:prstGeom>
                    <a:noFill/>
                  </pic:spPr>
                </pic:pic>
              </a:graphicData>
            </a:graphic>
          </wp:inline>
        </w:drawing>
      </w:r>
    </w:p>
    <w:p w14:paraId="1203201A" w14:textId="77777777" w:rsidR="0089391E" w:rsidRPr="00136FF1" w:rsidRDefault="0089391E" w:rsidP="00136FF1">
      <w:pPr>
        <w:rPr>
          <w:rFonts w:eastAsia="MS Mincho"/>
          <w:iCs/>
          <w:noProof/>
          <w:lang w:eastAsia="en-US"/>
        </w:rPr>
      </w:pPr>
      <w:r w:rsidRPr="00136FF1">
        <w:rPr>
          <w:rFonts w:eastAsia="MS Mincho"/>
          <w:iCs/>
          <w:noProof/>
          <w:lang w:eastAsia="en-US"/>
        </w:rPr>
        <w:t>Увесь вміст флакону з сумішшю вакцин слід використати протягом 4 годин після змішування. Усю невикористану суміш або відходи слід утилізувати відповідно до місцевих вимог.</w:t>
      </w:r>
    </w:p>
    <w:bookmarkEnd w:id="4"/>
    <w:p w14:paraId="38CA73B1" w14:textId="77777777" w:rsidR="00F45F32" w:rsidRPr="00136FF1" w:rsidRDefault="00F45F32" w:rsidP="00136FF1">
      <w:pPr>
        <w:jc w:val="both"/>
        <w:rPr>
          <w:b/>
        </w:rPr>
      </w:pPr>
      <w:r w:rsidRPr="00136FF1">
        <w:rPr>
          <w:b/>
        </w:rPr>
        <w:t>5.9. Передозування (симптоми, невідкладні заходи, антидоти)</w:t>
      </w:r>
    </w:p>
    <w:p w14:paraId="49C52E8F" w14:textId="77777777" w:rsidR="00F45F32" w:rsidRPr="00136FF1" w:rsidRDefault="00F45F32" w:rsidP="00136FF1">
      <w:pPr>
        <w:jc w:val="both"/>
      </w:pPr>
      <w:r w:rsidRPr="00136FF1">
        <w:t>Жодних додаткових побічних реакцій не спостерігалося після введення дози, що перевищувала рекомендовану в 10 разів, неінфікованим поросятам у віці 17 діб у вигляді системних та місцевих реакцій.</w:t>
      </w:r>
    </w:p>
    <w:p w14:paraId="2C97F4F3" w14:textId="77777777" w:rsidR="00F45F32" w:rsidRPr="00136FF1" w:rsidRDefault="00F45F32" w:rsidP="00136FF1">
      <w:pPr>
        <w:jc w:val="both"/>
        <w:rPr>
          <w:b/>
        </w:rPr>
      </w:pPr>
      <w:r w:rsidRPr="00136FF1">
        <w:rPr>
          <w:b/>
        </w:rPr>
        <w:t>5.10. Специфічні застереження</w:t>
      </w:r>
    </w:p>
    <w:p w14:paraId="5C9CCF50" w14:textId="77777777" w:rsidR="00F45F32" w:rsidRPr="00136FF1" w:rsidRDefault="00F45F32" w:rsidP="00136FF1">
      <w:pPr>
        <w:autoSpaceDE w:val="0"/>
        <w:autoSpaceDN w:val="0"/>
        <w:adjustRightInd w:val="0"/>
        <w:jc w:val="both"/>
      </w:pPr>
      <w:r w:rsidRPr="00136FF1">
        <w:t>Необхідно застосовувати запобіжні заходи, щоб уникнути передачі вакцинного штаму в стаді, від вакцинованих тварин до невакцинованих тварин.</w:t>
      </w:r>
    </w:p>
    <w:p w14:paraId="06CA2362" w14:textId="77777777" w:rsidR="00F45F32" w:rsidRPr="00136FF1" w:rsidRDefault="00F45F32" w:rsidP="00136FF1">
      <w:pPr>
        <w:jc w:val="both"/>
      </w:pPr>
      <w:r w:rsidRPr="00136FF1">
        <w:t>Не застосовувати для кнурів плідників в інтактних стадах, оскільки вірус репродуктивно-респіраторного синдрому може проникати в сперму.</w:t>
      </w:r>
    </w:p>
    <w:p w14:paraId="13BC089F" w14:textId="77777777" w:rsidR="00F45F32" w:rsidRPr="00136FF1" w:rsidRDefault="00F45F32" w:rsidP="00136FF1">
      <w:pPr>
        <w:autoSpaceDE w:val="0"/>
        <w:autoSpaceDN w:val="0"/>
        <w:adjustRightInd w:val="0"/>
        <w:jc w:val="both"/>
        <w:rPr>
          <w:lang w:eastAsia="en-US"/>
        </w:rPr>
      </w:pPr>
      <w:r w:rsidRPr="00136FF1">
        <w:t>Можливість впливу колострального імунітету при вакцинації поросят в двотижневому віці не виключена.</w:t>
      </w:r>
    </w:p>
    <w:p w14:paraId="2FA38112" w14:textId="77777777" w:rsidR="00F45F32" w:rsidRPr="00136FF1" w:rsidRDefault="00F45F32" w:rsidP="00136FF1">
      <w:pPr>
        <w:jc w:val="both"/>
        <w:rPr>
          <w:b/>
        </w:rPr>
      </w:pPr>
      <w:r w:rsidRPr="00136FF1">
        <w:rPr>
          <w:b/>
        </w:rPr>
        <w:t xml:space="preserve">5.11. Період виведення (каренції) </w:t>
      </w:r>
    </w:p>
    <w:p w14:paraId="2E9B6A0E" w14:textId="77777777" w:rsidR="00F45F32" w:rsidRPr="00136FF1" w:rsidRDefault="00F45F32" w:rsidP="00136FF1">
      <w:pPr>
        <w:jc w:val="both"/>
      </w:pPr>
      <w:r w:rsidRPr="00136FF1">
        <w:t>Нуль діб.</w:t>
      </w:r>
    </w:p>
    <w:p w14:paraId="1B405EC0" w14:textId="77777777" w:rsidR="00F45F32" w:rsidRPr="00136FF1" w:rsidRDefault="00F45F32" w:rsidP="00136FF1">
      <w:pPr>
        <w:jc w:val="both"/>
        <w:rPr>
          <w:b/>
        </w:rPr>
      </w:pPr>
      <w:r w:rsidRPr="00136FF1">
        <w:rPr>
          <w:b/>
        </w:rPr>
        <w:t xml:space="preserve">5.12. Специфічні застереження для осіб і обслуговуючого персоналу, які вводять засоби захисту тваринам </w:t>
      </w:r>
    </w:p>
    <w:p w14:paraId="0F7FA00E" w14:textId="77777777" w:rsidR="00F45F32" w:rsidRPr="00136FF1" w:rsidRDefault="00F45F32" w:rsidP="00136FF1">
      <w:pPr>
        <w:jc w:val="both"/>
      </w:pPr>
      <w:r w:rsidRPr="00136FF1">
        <w:t>У разі випадкового самовведення необхідно відразу звернутися за медичною допомогою та показати лікарю листівку-вкладку або етикетку.</w:t>
      </w:r>
    </w:p>
    <w:p w14:paraId="2E2BE452" w14:textId="77777777" w:rsidR="00F45F32" w:rsidRPr="00136FF1" w:rsidRDefault="00F45F32" w:rsidP="00136FF1">
      <w:pPr>
        <w:jc w:val="both"/>
        <w:rPr>
          <w:b/>
        </w:rPr>
      </w:pPr>
      <w:r w:rsidRPr="00136FF1">
        <w:rPr>
          <w:b/>
        </w:rPr>
        <w:t xml:space="preserve">6. Фармацевтичні особливості </w:t>
      </w:r>
    </w:p>
    <w:p w14:paraId="64E2F035" w14:textId="77777777" w:rsidR="00F45F32" w:rsidRPr="00136FF1" w:rsidRDefault="00F45F32" w:rsidP="00136FF1">
      <w:pPr>
        <w:jc w:val="both"/>
        <w:rPr>
          <w:b/>
        </w:rPr>
      </w:pPr>
      <w:r w:rsidRPr="00136FF1">
        <w:rPr>
          <w:b/>
        </w:rPr>
        <w:t>6.1. Основні форми несумісності</w:t>
      </w:r>
    </w:p>
    <w:p w14:paraId="712619F6" w14:textId="751F419A" w:rsidR="00F45F32" w:rsidRPr="00136FF1" w:rsidRDefault="00F45F32" w:rsidP="00136FF1">
      <w:pPr>
        <w:jc w:val="both"/>
      </w:pPr>
      <w:r w:rsidRPr="00136FF1">
        <w:t>Не змішуйте цю вакцину з жодним іншим ветеринарним лікарським засобом, окрім розчинника який використовується для приготування вакцини</w:t>
      </w:r>
      <w:r w:rsidR="0089391E" w:rsidRPr="00136FF1">
        <w:t xml:space="preserve"> обо </w:t>
      </w:r>
      <w:r w:rsidR="0089391E" w:rsidRPr="00136FF1">
        <w:rPr>
          <w:rFonts w:eastAsia="MS Mincho"/>
          <w:lang w:eastAsia="en-US"/>
        </w:rPr>
        <w:t>Інгельвак ЦиркоФЛЕКС</w:t>
      </w:r>
      <w:r w:rsidR="0089391E" w:rsidRPr="00136FF1">
        <w:rPr>
          <w:rFonts w:eastAsia="MS Mincho"/>
          <w:vertAlign w:val="superscript"/>
          <w:lang w:eastAsia="en-US"/>
        </w:rPr>
        <w:t>®</w:t>
      </w:r>
      <w:r w:rsidR="0089391E" w:rsidRPr="00136FF1">
        <w:t>, виробництва компанії Берінгер Інгельхайм. Суміш вакцин не застосовувати супоросним та латкуючим свиноматкам</w:t>
      </w:r>
      <w:r w:rsidRPr="00136FF1">
        <w:t>.</w:t>
      </w:r>
    </w:p>
    <w:p w14:paraId="5DBEE41B" w14:textId="77777777" w:rsidR="00F45F32" w:rsidRPr="00136FF1" w:rsidRDefault="00F45F32" w:rsidP="00136FF1">
      <w:pPr>
        <w:jc w:val="both"/>
        <w:rPr>
          <w:b/>
        </w:rPr>
      </w:pPr>
      <w:r w:rsidRPr="00136FF1">
        <w:rPr>
          <w:b/>
        </w:rPr>
        <w:t>6.2. Термін придатності</w:t>
      </w:r>
    </w:p>
    <w:p w14:paraId="7F41D5D1" w14:textId="77777777" w:rsidR="00F45F32" w:rsidRPr="00136FF1" w:rsidRDefault="00F45F32" w:rsidP="00136FF1">
      <w:pPr>
        <w:tabs>
          <w:tab w:val="left" w:pos="6096"/>
        </w:tabs>
        <w:jc w:val="both"/>
        <w:rPr>
          <w:lang w:eastAsia="en-US"/>
        </w:rPr>
      </w:pPr>
      <w:r w:rsidRPr="00136FF1">
        <w:t>Термін придатності</w:t>
      </w:r>
      <w:r w:rsidR="00F31B4B" w:rsidRPr="00136FF1">
        <w:rPr>
          <w:lang w:eastAsia="en-US"/>
        </w:rPr>
        <w:t xml:space="preserve"> ліофілізату: </w:t>
      </w:r>
      <w:r w:rsidR="009216B8" w:rsidRPr="00136FF1">
        <w:rPr>
          <w:lang w:eastAsia="en-US"/>
        </w:rPr>
        <w:t>24</w:t>
      </w:r>
      <w:r w:rsidRPr="00136FF1">
        <w:rPr>
          <w:lang w:eastAsia="en-US"/>
        </w:rPr>
        <w:t xml:space="preserve"> місяці.</w:t>
      </w:r>
    </w:p>
    <w:p w14:paraId="1BB4B65A" w14:textId="77777777" w:rsidR="00F45F32" w:rsidRPr="00136FF1" w:rsidRDefault="00F45F32" w:rsidP="00136FF1">
      <w:pPr>
        <w:tabs>
          <w:tab w:val="left" w:pos="6096"/>
        </w:tabs>
        <w:jc w:val="both"/>
        <w:rPr>
          <w:lang w:eastAsia="en-US"/>
        </w:rPr>
      </w:pPr>
      <w:r w:rsidRPr="00136FF1">
        <w:t>Термін придатності</w:t>
      </w:r>
      <w:r w:rsidRPr="00136FF1">
        <w:rPr>
          <w:lang w:eastAsia="en-US"/>
        </w:rPr>
        <w:t xml:space="preserve"> розчинника: 36 місяців.</w:t>
      </w:r>
    </w:p>
    <w:p w14:paraId="7EC4653F" w14:textId="77777777" w:rsidR="00F45F32" w:rsidRPr="00136FF1" w:rsidRDefault="00F45F32" w:rsidP="00136FF1">
      <w:pPr>
        <w:tabs>
          <w:tab w:val="left" w:pos="6096"/>
        </w:tabs>
        <w:jc w:val="both"/>
        <w:rPr>
          <w:lang w:eastAsia="en-US"/>
        </w:rPr>
      </w:pPr>
      <w:r w:rsidRPr="00136FF1">
        <w:t>Термін придатності</w:t>
      </w:r>
      <w:r w:rsidRPr="00136FF1">
        <w:rPr>
          <w:lang w:eastAsia="en-US"/>
        </w:rPr>
        <w:t xml:space="preserve"> п</w:t>
      </w:r>
      <w:r w:rsidRPr="00136FF1">
        <w:t xml:space="preserve">ісля розведення </w:t>
      </w:r>
      <w:r w:rsidR="0089391E" w:rsidRPr="00136FF1">
        <w:t xml:space="preserve">розчинником </w:t>
      </w:r>
      <w:r w:rsidRPr="00136FF1">
        <w:t>відповідно листівки-вкладки:</w:t>
      </w:r>
      <w:r w:rsidRPr="00136FF1">
        <w:rPr>
          <w:lang w:eastAsia="en-US"/>
        </w:rPr>
        <w:t xml:space="preserve"> 8 годин.</w:t>
      </w:r>
    </w:p>
    <w:p w14:paraId="4F6D17D3" w14:textId="77777777" w:rsidR="00F45F32" w:rsidRPr="00136FF1" w:rsidRDefault="00F45F32" w:rsidP="00136FF1">
      <w:pPr>
        <w:jc w:val="both"/>
        <w:rPr>
          <w:b/>
        </w:rPr>
      </w:pPr>
      <w:r w:rsidRPr="00136FF1">
        <w:rPr>
          <w:b/>
        </w:rPr>
        <w:t xml:space="preserve">6.3. Особливі застереження щодо зберігання </w:t>
      </w:r>
    </w:p>
    <w:p w14:paraId="232F60A8" w14:textId="0B832397" w:rsidR="00F45F32" w:rsidRPr="00136FF1" w:rsidRDefault="00F45F32" w:rsidP="00136FF1">
      <w:pPr>
        <w:jc w:val="both"/>
      </w:pPr>
      <w:r w:rsidRPr="00136FF1">
        <w:t xml:space="preserve">Ліофілізат зберігати та транспортувати в захищеному від світла місці при температурі від </w:t>
      </w:r>
      <w:smartTag w:uri="urn:schemas-microsoft-com:office:smarttags" w:element="metricconverter">
        <w:smartTagPr>
          <w:attr w:name="ProductID" w:val="2°C"/>
        </w:smartTagPr>
        <w:r w:rsidRPr="00136FF1">
          <w:t>2°C</w:t>
        </w:r>
      </w:smartTag>
      <w:r w:rsidRPr="00136FF1">
        <w:t xml:space="preserve"> до </w:t>
      </w:r>
      <w:smartTag w:uri="urn:schemas-microsoft-com:office:smarttags" w:element="metricconverter">
        <w:smartTagPr>
          <w:attr w:name="ProductID" w:val="8°C"/>
        </w:smartTagPr>
        <w:r w:rsidRPr="00136FF1">
          <w:t>8°C</w:t>
        </w:r>
      </w:smartTag>
      <w:r w:rsidRPr="00136FF1">
        <w:t xml:space="preserve">. Не заморожувати. </w:t>
      </w:r>
    </w:p>
    <w:p w14:paraId="5209C354" w14:textId="40F9196B" w:rsidR="00F45F32" w:rsidRPr="00136FF1" w:rsidRDefault="00F45F32" w:rsidP="00136FF1">
      <w:pPr>
        <w:jc w:val="both"/>
      </w:pPr>
      <w:r w:rsidRPr="00136FF1">
        <w:t>Розчинник зберігати та транспортувати в захищеному від світла місці при температурі</w:t>
      </w:r>
      <w:r w:rsidR="002F0846" w:rsidRPr="00136FF1">
        <w:rPr>
          <w:lang w:val="ru-RU"/>
        </w:rPr>
        <w:t xml:space="preserve"> </w:t>
      </w:r>
      <w:r w:rsidRPr="00136FF1">
        <w:t xml:space="preserve">від </w:t>
      </w:r>
      <w:smartTag w:uri="urn:schemas-microsoft-com:office:smarttags" w:element="metricconverter">
        <w:smartTagPr>
          <w:attr w:name="ProductID" w:val="2°C"/>
        </w:smartTagPr>
        <w:r w:rsidRPr="00136FF1">
          <w:t>2°C</w:t>
        </w:r>
      </w:smartTag>
      <w:r w:rsidRPr="00136FF1">
        <w:t xml:space="preserve"> до </w:t>
      </w:r>
      <w:smartTag w:uri="urn:schemas-microsoft-com:office:smarttags" w:element="metricconverter">
        <w:smartTagPr>
          <w:attr w:name="ProductID" w:val="03151, м"/>
        </w:smartTagPr>
        <w:r w:rsidRPr="00136FF1">
          <w:rPr>
            <w:lang w:eastAsia="en-US"/>
          </w:rPr>
          <w:t>25°C</w:t>
        </w:r>
      </w:smartTag>
      <w:r w:rsidRPr="00136FF1">
        <w:t xml:space="preserve">. Не заморожувати. </w:t>
      </w:r>
    </w:p>
    <w:p w14:paraId="5B9748DA" w14:textId="77777777" w:rsidR="00F45F32" w:rsidRPr="00136FF1" w:rsidRDefault="00F45F32" w:rsidP="00136FF1">
      <w:pPr>
        <w:jc w:val="both"/>
      </w:pPr>
      <w:r w:rsidRPr="00136FF1">
        <w:t>Зберігати у недоступному для дітей місці.</w:t>
      </w:r>
    </w:p>
    <w:p w14:paraId="55D2BD25" w14:textId="77777777" w:rsidR="00F45F32" w:rsidRPr="00136FF1" w:rsidRDefault="00F45F32" w:rsidP="00136FF1">
      <w:pPr>
        <w:jc w:val="both"/>
        <w:rPr>
          <w:b/>
          <w:bCs/>
        </w:rPr>
      </w:pPr>
      <w:r w:rsidRPr="00136FF1">
        <w:rPr>
          <w:b/>
        </w:rPr>
        <w:t>6.4. Природа і склад контейнера</w:t>
      </w:r>
      <w:r w:rsidRPr="00136FF1">
        <w:rPr>
          <w:b/>
          <w:bCs/>
        </w:rPr>
        <w:t xml:space="preserve"> первинного </w:t>
      </w:r>
      <w:r w:rsidRPr="00136FF1">
        <w:rPr>
          <w:b/>
        </w:rPr>
        <w:t xml:space="preserve"> пакування</w:t>
      </w:r>
    </w:p>
    <w:p w14:paraId="10AF0824" w14:textId="77777777" w:rsidR="00F45F32" w:rsidRPr="00136FF1" w:rsidRDefault="00F45F32" w:rsidP="00136FF1">
      <w:pPr>
        <w:jc w:val="both"/>
        <w:rPr>
          <w:lang w:eastAsia="en-US"/>
        </w:rPr>
      </w:pPr>
      <w:r w:rsidRPr="00136FF1">
        <w:rPr>
          <w:u w:val="single"/>
          <w:lang w:eastAsia="en-US"/>
        </w:rPr>
        <w:t>Ліофілізат</w:t>
      </w:r>
      <w:r w:rsidRPr="00136FF1">
        <w:rPr>
          <w:lang w:eastAsia="en-US"/>
        </w:rPr>
        <w:t>:</w:t>
      </w:r>
    </w:p>
    <w:p w14:paraId="25D7FC6F" w14:textId="7F21AF1E" w:rsidR="00FC50CA" w:rsidRPr="00136FF1" w:rsidRDefault="00F45F32" w:rsidP="00136FF1">
      <w:pPr>
        <w:autoSpaceDE w:val="0"/>
        <w:autoSpaceDN w:val="0"/>
        <w:adjustRightInd w:val="0"/>
        <w:jc w:val="both"/>
        <w:rPr>
          <w:lang w:val="ru-RU" w:eastAsia="en-US"/>
        </w:rPr>
      </w:pPr>
      <w:r w:rsidRPr="00136FF1">
        <w:rPr>
          <w:lang w:eastAsia="en-US"/>
        </w:rPr>
        <w:t>Коробка містить по 1, 12 або 25 флаконів</w:t>
      </w:r>
      <w:r w:rsidR="00FC50CA" w:rsidRPr="00136FF1">
        <w:rPr>
          <w:lang w:val="ru-RU" w:eastAsia="en-US"/>
        </w:rPr>
        <w:t xml:space="preserve"> </w:t>
      </w:r>
      <w:r w:rsidRPr="00136FF1">
        <w:t>з бурштинового скла типу I по</w:t>
      </w:r>
      <w:r w:rsidR="000C022F" w:rsidRPr="00136FF1">
        <w:t xml:space="preserve"> </w:t>
      </w:r>
      <w:r w:rsidRPr="00136FF1">
        <w:rPr>
          <w:lang w:eastAsia="en-US"/>
        </w:rPr>
        <w:t xml:space="preserve">10 </w:t>
      </w:r>
      <w:r w:rsidR="00B4571F" w:rsidRPr="007A3949">
        <w:t>мл</w:t>
      </w:r>
      <w:r w:rsidRPr="00136FF1">
        <w:rPr>
          <w:lang w:eastAsia="en-US"/>
        </w:rPr>
        <w:t xml:space="preserve"> (10 </w:t>
      </w:r>
      <w:r w:rsidRPr="00136FF1">
        <w:t>доз</w:t>
      </w:r>
      <w:r w:rsidRPr="00136FF1">
        <w:rPr>
          <w:lang w:eastAsia="en-US"/>
        </w:rPr>
        <w:t xml:space="preserve">), 50 </w:t>
      </w:r>
      <w:r w:rsidR="00B4571F" w:rsidRPr="007A3949">
        <w:t>мл</w:t>
      </w:r>
      <w:r w:rsidRPr="00136FF1">
        <w:rPr>
          <w:lang w:eastAsia="en-US"/>
        </w:rPr>
        <w:t xml:space="preserve"> </w:t>
      </w:r>
    </w:p>
    <w:p w14:paraId="69FC005E" w14:textId="02EB5A00" w:rsidR="00F45F32" w:rsidRPr="00136FF1" w:rsidRDefault="00F45F32" w:rsidP="00136FF1">
      <w:pPr>
        <w:autoSpaceDE w:val="0"/>
        <w:autoSpaceDN w:val="0"/>
        <w:adjustRightInd w:val="0"/>
        <w:jc w:val="both"/>
        <w:rPr>
          <w:lang w:eastAsia="en-US"/>
        </w:rPr>
      </w:pPr>
      <w:r w:rsidRPr="00136FF1">
        <w:rPr>
          <w:lang w:eastAsia="en-US"/>
        </w:rPr>
        <w:t xml:space="preserve">(50 </w:t>
      </w:r>
      <w:r w:rsidRPr="00136FF1">
        <w:t>доз</w:t>
      </w:r>
      <w:r w:rsidRPr="00136FF1">
        <w:rPr>
          <w:lang w:eastAsia="en-US"/>
        </w:rPr>
        <w:t xml:space="preserve">), 100 </w:t>
      </w:r>
      <w:r w:rsidR="00B4571F" w:rsidRPr="007A3949">
        <w:t>мл</w:t>
      </w:r>
      <w:r w:rsidRPr="00136FF1">
        <w:rPr>
          <w:lang w:eastAsia="en-US"/>
        </w:rPr>
        <w:t xml:space="preserve"> (100 </w:t>
      </w:r>
      <w:r w:rsidRPr="00136FF1">
        <w:t>доз</w:t>
      </w:r>
      <w:r w:rsidRPr="00136FF1">
        <w:rPr>
          <w:lang w:eastAsia="en-US"/>
        </w:rPr>
        <w:t xml:space="preserve">) та 250 </w:t>
      </w:r>
      <w:r w:rsidR="00B4571F" w:rsidRPr="007A3949">
        <w:t>мл</w:t>
      </w:r>
      <w:r w:rsidRPr="00136FF1">
        <w:rPr>
          <w:lang w:eastAsia="en-US"/>
        </w:rPr>
        <w:t xml:space="preserve"> (250 </w:t>
      </w:r>
      <w:r w:rsidRPr="00136FF1">
        <w:t>доз</w:t>
      </w:r>
      <w:r w:rsidRPr="00136FF1">
        <w:rPr>
          <w:lang w:eastAsia="en-US"/>
        </w:rPr>
        <w:t xml:space="preserve">) вакцини, </w:t>
      </w:r>
      <w:r w:rsidRPr="00136FF1">
        <w:t>закриті пробкою з бромбутилового каучуку та алюмінієвим ковпачком.</w:t>
      </w:r>
    </w:p>
    <w:p w14:paraId="3D2DFADE" w14:textId="77777777" w:rsidR="00136FF1" w:rsidRPr="00136FF1" w:rsidRDefault="00136FF1" w:rsidP="00136FF1">
      <w:pPr>
        <w:ind w:left="6840"/>
      </w:pPr>
      <w:r w:rsidRPr="00136FF1">
        <w:lastRenderedPageBreak/>
        <w:t>Продовження додатку 1</w:t>
      </w:r>
    </w:p>
    <w:p w14:paraId="27FDE6D3" w14:textId="0BD892EF" w:rsidR="00136FF1" w:rsidRPr="00136FF1" w:rsidRDefault="00136FF1" w:rsidP="00136FF1">
      <w:pPr>
        <w:ind w:left="6840"/>
        <w:rPr>
          <w:bCs/>
        </w:rPr>
      </w:pPr>
      <w:r w:rsidRPr="00136FF1">
        <w:rPr>
          <w:bCs/>
        </w:rPr>
        <w:t>до реєстраційного посвідчення</w:t>
      </w:r>
    </w:p>
    <w:p w14:paraId="528CEDC4" w14:textId="42E5C108" w:rsidR="00136FF1" w:rsidRPr="00136FF1" w:rsidRDefault="00136FF1" w:rsidP="00136FF1">
      <w:pPr>
        <w:ind w:left="6840"/>
        <w:rPr>
          <w:bCs/>
        </w:rPr>
      </w:pPr>
      <w:r w:rsidRPr="00136FF1">
        <w:rPr>
          <w:bCs/>
        </w:rPr>
        <w:t>№ ВА-00779-02-15</w:t>
      </w:r>
    </w:p>
    <w:p w14:paraId="038A4C20" w14:textId="77777777" w:rsidR="00136FF1" w:rsidRPr="00136FF1" w:rsidRDefault="00136FF1" w:rsidP="00136FF1">
      <w:pPr>
        <w:ind w:left="6840"/>
        <w:rPr>
          <w:bCs/>
        </w:rPr>
      </w:pPr>
      <w:r w:rsidRPr="00136FF1">
        <w:rPr>
          <w:bCs/>
        </w:rPr>
        <w:t xml:space="preserve">від </w:t>
      </w:r>
    </w:p>
    <w:p w14:paraId="53A60930" w14:textId="5B60BE96" w:rsidR="00136FF1" w:rsidRDefault="00136FF1" w:rsidP="00136FF1">
      <w:pPr>
        <w:jc w:val="both"/>
        <w:rPr>
          <w:u w:val="single"/>
        </w:rPr>
      </w:pPr>
    </w:p>
    <w:p w14:paraId="26F7EBD7" w14:textId="4E2A9BC1" w:rsidR="00136FF1" w:rsidRPr="00136FF1" w:rsidRDefault="00136FF1" w:rsidP="00136FF1">
      <w:pPr>
        <w:jc w:val="both"/>
      </w:pPr>
      <w:r w:rsidRPr="00136FF1">
        <w:rPr>
          <w:u w:val="single"/>
        </w:rPr>
        <w:t>Розчинник до вакцини</w:t>
      </w:r>
      <w:r w:rsidRPr="00136FF1">
        <w:t>:</w:t>
      </w:r>
    </w:p>
    <w:p w14:paraId="101F547A" w14:textId="0E093449" w:rsidR="00136FF1" w:rsidRPr="00136FF1" w:rsidRDefault="00136FF1" w:rsidP="00136FF1">
      <w:pPr>
        <w:autoSpaceDE w:val="0"/>
        <w:autoSpaceDN w:val="0"/>
        <w:adjustRightInd w:val="0"/>
        <w:jc w:val="both"/>
        <w:rPr>
          <w:lang w:eastAsia="en-US"/>
        </w:rPr>
      </w:pPr>
      <w:r w:rsidRPr="00136FF1">
        <w:rPr>
          <w:lang w:eastAsia="en-US"/>
        </w:rPr>
        <w:t xml:space="preserve">Коробка містить по 1, 12 або 25 </w:t>
      </w:r>
      <w:r w:rsidRPr="00136FF1">
        <w:t xml:space="preserve">флаконів з поліетилену високої щільності по </w:t>
      </w:r>
      <w:r w:rsidRPr="00136FF1">
        <w:rPr>
          <w:lang w:eastAsia="en-US"/>
        </w:rPr>
        <w:t xml:space="preserve">10 </w:t>
      </w:r>
      <w:r w:rsidR="00B4571F" w:rsidRPr="007A3949">
        <w:t>мл</w:t>
      </w:r>
      <w:r w:rsidRPr="00136FF1">
        <w:rPr>
          <w:lang w:eastAsia="en-US"/>
        </w:rPr>
        <w:t xml:space="preserve">, 50 </w:t>
      </w:r>
      <w:r w:rsidR="00B4571F" w:rsidRPr="007A3949">
        <w:t>мл</w:t>
      </w:r>
      <w:r w:rsidRPr="00136FF1">
        <w:rPr>
          <w:lang w:eastAsia="en-US"/>
        </w:rPr>
        <w:t xml:space="preserve">, 100 </w:t>
      </w:r>
      <w:r w:rsidR="00B4571F" w:rsidRPr="007A3949">
        <w:t>мл</w:t>
      </w:r>
      <w:r w:rsidRPr="00136FF1">
        <w:t xml:space="preserve"> </w:t>
      </w:r>
      <w:r w:rsidRPr="00136FF1">
        <w:rPr>
          <w:lang w:eastAsia="en-US"/>
        </w:rPr>
        <w:t xml:space="preserve">та 250 </w:t>
      </w:r>
      <w:r w:rsidR="00B4571F" w:rsidRPr="007A3949">
        <w:t>мл</w:t>
      </w:r>
      <w:r w:rsidRPr="00136FF1">
        <w:t xml:space="preserve"> </w:t>
      </w:r>
      <w:r w:rsidRPr="00136FF1">
        <w:rPr>
          <w:lang w:eastAsia="en-US"/>
        </w:rPr>
        <w:t xml:space="preserve">закупорені </w:t>
      </w:r>
      <w:r w:rsidRPr="00136FF1">
        <w:t>бром- або хлорбутилкаучуковою пробкою та алюмінієвим ковпачком.</w:t>
      </w:r>
    </w:p>
    <w:p w14:paraId="550A3B3E" w14:textId="77777777" w:rsidR="00F45F32" w:rsidRPr="00136FF1" w:rsidRDefault="00F45F32" w:rsidP="00136FF1">
      <w:pPr>
        <w:jc w:val="both"/>
        <w:rPr>
          <w:b/>
        </w:rPr>
      </w:pPr>
      <w:r w:rsidRPr="00136FF1">
        <w:rPr>
          <w:b/>
        </w:rPr>
        <w:t>6.5. Назва та місцезнаходження власника реєстраційного посвідчення</w:t>
      </w:r>
    </w:p>
    <w:p w14:paraId="048F958A" w14:textId="77777777" w:rsidR="00F45F32" w:rsidRPr="00136FF1" w:rsidRDefault="00F45F32" w:rsidP="00136FF1">
      <w:pPr>
        <w:jc w:val="both"/>
      </w:pPr>
      <w:r w:rsidRPr="00136FF1">
        <w:t xml:space="preserve">Берінгер Інгельхайм Ветмедіка ГмбХ, </w:t>
      </w:r>
      <w:smartTag w:uri="urn:schemas-microsoft-com:office:smarttags" w:element="metricconverter">
        <w:smartTagPr>
          <w:attr w:name="ProductID" w:val="03151, м"/>
        </w:smartTagPr>
        <w:r w:rsidRPr="00136FF1">
          <w:t>55216 м</w:t>
        </w:r>
      </w:smartTag>
      <w:r w:rsidRPr="00136FF1">
        <w:t xml:space="preserve">. Інгельхайм-на-Рейні, Німеччина. </w:t>
      </w:r>
    </w:p>
    <w:p w14:paraId="136884B6" w14:textId="77777777" w:rsidR="00F45F32" w:rsidRPr="00136FF1" w:rsidRDefault="00F45F32" w:rsidP="00136FF1">
      <w:pPr>
        <w:jc w:val="both"/>
        <w:rPr>
          <w:b/>
        </w:rPr>
      </w:pPr>
      <w:r w:rsidRPr="00136FF1">
        <w:rPr>
          <w:b/>
        </w:rPr>
        <w:t>6.6. Назва та місцезнаходження виробників</w:t>
      </w:r>
    </w:p>
    <w:p w14:paraId="620E6783" w14:textId="127EC241" w:rsidR="0073346B" w:rsidRPr="00C93FD0" w:rsidRDefault="0073346B" w:rsidP="00136FF1">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left" w:pos="-234"/>
          <w:tab w:val="left" w:pos="9516"/>
          <w:tab w:val="left" w:pos="9672"/>
        </w:tabs>
        <w:jc w:val="both"/>
        <w:rPr>
          <w:rFonts w:ascii="Times New Roman" w:hAnsi="Times New Roman"/>
          <w:sz w:val="24"/>
          <w:szCs w:val="24"/>
          <w:u w:val="single"/>
          <w:lang w:val="ru-RU"/>
        </w:rPr>
      </w:pPr>
      <w:bookmarkStart w:id="6" w:name="_Hlk199845108"/>
      <w:r w:rsidRPr="00C93FD0">
        <w:rPr>
          <w:rFonts w:ascii="Times New Roman" w:hAnsi="Times New Roman"/>
          <w:sz w:val="24"/>
          <w:szCs w:val="24"/>
          <w:u w:val="single"/>
          <w:lang w:val="ru-RU"/>
        </w:rPr>
        <w:t xml:space="preserve">Виробництво, контроль, первинне </w:t>
      </w:r>
      <w:r w:rsidRPr="00C93FD0">
        <w:rPr>
          <w:rFonts w:ascii="Times New Roman" w:hAnsi="Times New Roman"/>
          <w:sz w:val="24"/>
          <w:szCs w:val="24"/>
          <w:u w:val="single"/>
        </w:rPr>
        <w:t xml:space="preserve">та вторинне </w:t>
      </w:r>
      <w:r w:rsidRPr="00C93FD0">
        <w:rPr>
          <w:rFonts w:ascii="Times New Roman" w:hAnsi="Times New Roman"/>
          <w:sz w:val="24"/>
          <w:szCs w:val="24"/>
          <w:u w:val="single"/>
          <w:lang w:val="ru-RU"/>
        </w:rPr>
        <w:t>пакування, випуск серії:</w:t>
      </w:r>
      <w:bookmarkEnd w:id="6"/>
    </w:p>
    <w:p w14:paraId="2BB7E8B9" w14:textId="0B47F1A8" w:rsidR="00F45F32" w:rsidRPr="00136FF1" w:rsidRDefault="009216B8" w:rsidP="00136FF1">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left" w:pos="-234"/>
          <w:tab w:val="left" w:pos="9516"/>
          <w:tab w:val="left" w:pos="9672"/>
        </w:tabs>
        <w:jc w:val="both"/>
        <w:rPr>
          <w:rFonts w:ascii="Times New Roman" w:hAnsi="Times New Roman"/>
          <w:sz w:val="24"/>
          <w:szCs w:val="24"/>
          <w:lang w:eastAsia="uk-UA"/>
        </w:rPr>
      </w:pPr>
      <w:r w:rsidRPr="00136FF1">
        <w:rPr>
          <w:rFonts w:ascii="Times New Roman" w:hAnsi="Times New Roman"/>
          <w:sz w:val="24"/>
          <w:szCs w:val="24"/>
        </w:rPr>
        <w:t>Берінгер Інгельхайм Енімал Хелс Ю.Ес.Ей Інк.</w:t>
      </w:r>
      <w:r w:rsidR="00F45F32" w:rsidRPr="00136FF1">
        <w:rPr>
          <w:rFonts w:ascii="Times New Roman" w:hAnsi="Times New Roman"/>
          <w:sz w:val="24"/>
          <w:szCs w:val="24"/>
        </w:rPr>
        <w:t>, 2621 Норс Белт Хайвей, Сент Джозеф, Міссурі, 64506, США</w:t>
      </w:r>
      <w:r w:rsidR="00F45F32" w:rsidRPr="00136FF1">
        <w:rPr>
          <w:rFonts w:ascii="Times New Roman" w:hAnsi="Times New Roman"/>
          <w:sz w:val="24"/>
          <w:szCs w:val="24"/>
          <w:lang w:eastAsia="ru-RU"/>
        </w:rPr>
        <w:t>.</w:t>
      </w:r>
    </w:p>
    <w:p w14:paraId="5E967C05" w14:textId="6CB1AFD0" w:rsidR="0073346B" w:rsidRPr="00C93FD0" w:rsidRDefault="0073346B" w:rsidP="00136FF1">
      <w:pPr>
        <w:jc w:val="both"/>
        <w:rPr>
          <w:u w:val="single"/>
        </w:rPr>
      </w:pPr>
      <w:bookmarkStart w:id="7" w:name="_Hlk199845737"/>
      <w:r w:rsidRPr="00C93FD0">
        <w:rPr>
          <w:u w:val="single"/>
        </w:rPr>
        <w:t>Контроль та випуск серії</w:t>
      </w:r>
      <w:r w:rsidR="0082260E" w:rsidRPr="00C93FD0">
        <w:rPr>
          <w:u w:val="single"/>
        </w:rPr>
        <w:t xml:space="preserve"> (на території ЄС)</w:t>
      </w:r>
      <w:r w:rsidRPr="00C93FD0">
        <w:rPr>
          <w:u w:val="single"/>
        </w:rPr>
        <w:t>:</w:t>
      </w:r>
    </w:p>
    <w:bookmarkEnd w:id="7"/>
    <w:p w14:paraId="4967DA4C" w14:textId="48B18DB7" w:rsidR="00F45F32" w:rsidRPr="00136FF1" w:rsidRDefault="00F45F32" w:rsidP="00136FF1">
      <w:pPr>
        <w:jc w:val="both"/>
      </w:pPr>
      <w:r w:rsidRPr="00136FF1">
        <w:t xml:space="preserve">Берінгер Інгельхайм Ветмедіка ГмбХ, </w:t>
      </w:r>
      <w:smartTag w:uri="urn:schemas-microsoft-com:office:smarttags" w:element="metricconverter">
        <w:smartTagPr>
          <w:attr w:name="ProductID" w:val="03151, м"/>
        </w:smartTagPr>
        <w:r w:rsidRPr="00136FF1">
          <w:t>55216 м</w:t>
        </w:r>
      </w:smartTag>
      <w:r w:rsidRPr="00136FF1">
        <w:t xml:space="preserve">. Інгельхайм-на-Рейні, Німеччина. </w:t>
      </w:r>
    </w:p>
    <w:p w14:paraId="302E6E53" w14:textId="2E2F7868" w:rsidR="00F45F32" w:rsidRPr="00136FF1" w:rsidRDefault="00F45F32" w:rsidP="00136FF1">
      <w:pPr>
        <w:jc w:val="both"/>
        <w:rPr>
          <w:b/>
        </w:rPr>
      </w:pPr>
      <w:r w:rsidRPr="00136FF1">
        <w:rPr>
          <w:b/>
        </w:rPr>
        <w:t>6.7</w:t>
      </w:r>
      <w:r w:rsidR="004D70DD">
        <w:rPr>
          <w:b/>
        </w:rPr>
        <w:t xml:space="preserve"> </w:t>
      </w:r>
      <w:r w:rsidR="0073346B" w:rsidRPr="0073346B">
        <w:rPr>
          <w:b/>
        </w:rPr>
        <w:t>Особливі заходи безпеки при утилізації невикористаних засобів</w:t>
      </w:r>
    </w:p>
    <w:p w14:paraId="004B4265" w14:textId="77777777" w:rsidR="00F45F32" w:rsidRPr="00C93FD0" w:rsidRDefault="00F45F32" w:rsidP="00136FF1">
      <w:pPr>
        <w:jc w:val="both"/>
        <w:rPr>
          <w:lang w:val="ru-RU"/>
        </w:rPr>
      </w:pPr>
      <w:r w:rsidRPr="00136FF1">
        <w:t>Будь-який невикористаний продукт або його відходи повинні утилізуватися відповідно до вимог місцевого законодавства.</w:t>
      </w:r>
    </w:p>
    <w:p w14:paraId="00B4E2B7" w14:textId="77777777" w:rsidR="0073346B" w:rsidRPr="00C93FD0" w:rsidRDefault="0073346B" w:rsidP="0073346B">
      <w:pPr>
        <w:jc w:val="both"/>
        <w:rPr>
          <w:b/>
          <w:bCs/>
          <w:lang w:val="ru-RU"/>
        </w:rPr>
      </w:pPr>
      <w:r w:rsidRPr="00C93FD0">
        <w:rPr>
          <w:b/>
          <w:bCs/>
          <w:lang w:val="ru-RU"/>
        </w:rPr>
        <w:t>6.8. Правила відпуску</w:t>
      </w:r>
    </w:p>
    <w:p w14:paraId="0A4A2B3C" w14:textId="366A274D" w:rsidR="0073346B" w:rsidRPr="00C93FD0" w:rsidRDefault="0073346B" w:rsidP="0073346B">
      <w:pPr>
        <w:jc w:val="both"/>
        <w:rPr>
          <w:lang w:val="ru-RU"/>
        </w:rPr>
      </w:pPr>
      <w:r w:rsidRPr="00C93FD0">
        <w:rPr>
          <w:lang w:val="ru-RU"/>
        </w:rPr>
        <w:t>Без рецепта.</w:t>
      </w:r>
    </w:p>
    <w:p w14:paraId="623EC0CE" w14:textId="77777777" w:rsidR="00F45F32" w:rsidRPr="00136FF1" w:rsidRDefault="00F45F32" w:rsidP="00136FF1">
      <w:pPr>
        <w:jc w:val="both"/>
        <w:rPr>
          <w:b/>
        </w:rPr>
      </w:pPr>
      <w:r w:rsidRPr="00136FF1">
        <w:rPr>
          <w:b/>
        </w:rPr>
        <w:t>7. Додаткова інформація</w:t>
      </w:r>
    </w:p>
    <w:p w14:paraId="1C778DCF" w14:textId="77777777" w:rsidR="00F45F32" w:rsidRPr="00136FF1" w:rsidRDefault="00F45F32" w:rsidP="00136FF1">
      <w:pPr>
        <w:jc w:val="both"/>
      </w:pPr>
      <w:r w:rsidRPr="00136FF1">
        <w:t xml:space="preserve">Якщо препарат не відповідає вимогам листівки-вкладки або виникли ускладнення, застосування цієї серії негайно припиняють і повідомляють Державний науково-контрольний інститут біотехнології і штамів мікроорганізмів (ДНКІБШМ) та постачальника (виробника). Одночасно з посланцем у ДНКІБШМ направляють, відповідно до “Вказівки про порядок пред’явлення рекламацій на біологічні препарати, що призначені для застосування у ветеринарній медицині” від 03.06.98 № 2 три нерозкриті флакони цієї серії препарату за адресою: </w:t>
      </w:r>
      <w:smartTag w:uri="urn:schemas-microsoft-com:office:smarttags" w:element="metricconverter">
        <w:smartTagPr>
          <w:attr w:name="ProductID" w:val="03151, м"/>
        </w:smartTagPr>
        <w:r w:rsidRPr="00136FF1">
          <w:t>03151, м</w:t>
        </w:r>
      </w:smartTag>
      <w:r w:rsidRPr="00136FF1">
        <w:t>. Київ, вул. Донецька, 30, ДНКІБШМ.</w:t>
      </w:r>
    </w:p>
    <w:p w14:paraId="31880070" w14:textId="22AAE02A" w:rsidR="00F45F32" w:rsidRDefault="00F45F32" w:rsidP="00136FF1">
      <w:pPr>
        <w:jc w:val="both"/>
        <w:rPr>
          <w:color w:val="FF0000"/>
        </w:rPr>
      </w:pPr>
    </w:p>
    <w:p w14:paraId="5FE36B06" w14:textId="4316A268" w:rsidR="003C4E63" w:rsidRPr="003C4E63" w:rsidRDefault="003C4E63" w:rsidP="002D17D2">
      <w:pPr>
        <w:jc w:val="both"/>
        <w:rPr>
          <w:color w:val="0070C0"/>
        </w:rPr>
      </w:pPr>
    </w:p>
    <w:sectPr w:rsidR="003C4E63" w:rsidRPr="003C4E63" w:rsidSect="006B2058">
      <w:footerReference w:type="even" r:id="rId8"/>
      <w:footerReference w:type="default" r:id="rId9"/>
      <w:pgSz w:w="11906" w:h="16838"/>
      <w:pgMar w:top="567" w:right="454" w:bottom="454"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F1092" w14:textId="77777777" w:rsidR="0043681B" w:rsidRDefault="0043681B" w:rsidP="008464D4">
      <w:r>
        <w:separator/>
      </w:r>
    </w:p>
  </w:endnote>
  <w:endnote w:type="continuationSeparator" w:id="0">
    <w:p w14:paraId="001B5025" w14:textId="77777777" w:rsidR="0043681B" w:rsidRDefault="0043681B" w:rsidP="0084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C06A" w14:textId="77777777" w:rsidR="00F45F32" w:rsidRDefault="00F45F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0258FB" w14:textId="77777777" w:rsidR="00F45F32" w:rsidRDefault="00F45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A75B" w14:textId="77777777" w:rsidR="00F45F32" w:rsidRDefault="00F45F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323D">
      <w:rPr>
        <w:rStyle w:val="PageNumber"/>
        <w:noProof/>
      </w:rPr>
      <w:t>2</w:t>
    </w:r>
    <w:r>
      <w:rPr>
        <w:rStyle w:val="PageNumber"/>
      </w:rPr>
      <w:fldChar w:fldCharType="end"/>
    </w:r>
  </w:p>
  <w:p w14:paraId="080651A3" w14:textId="77777777" w:rsidR="00F45F32" w:rsidRDefault="00F45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0832B" w14:textId="77777777" w:rsidR="0043681B" w:rsidRDefault="0043681B" w:rsidP="008464D4">
      <w:r>
        <w:separator/>
      </w:r>
    </w:p>
  </w:footnote>
  <w:footnote w:type="continuationSeparator" w:id="0">
    <w:p w14:paraId="2072F3A1" w14:textId="77777777" w:rsidR="0043681B" w:rsidRDefault="0043681B" w:rsidP="00846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32B7"/>
    <w:multiLevelType w:val="hybridMultilevel"/>
    <w:tmpl w:val="E0F00706"/>
    <w:lvl w:ilvl="0" w:tplc="2B8E493C">
      <w:start w:val="2"/>
      <w:numFmt w:val="bullet"/>
      <w:lvlText w:val="-"/>
      <w:lvlJc w:val="left"/>
      <w:pPr>
        <w:ind w:left="420" w:hanging="360"/>
      </w:pPr>
      <w:rPr>
        <w:rFonts w:ascii="Times New Roman" w:eastAsia="Times New Roman" w:hAnsi="Times New Roman" w:hint="default"/>
      </w:rPr>
    </w:lvl>
    <w:lvl w:ilvl="1" w:tplc="04220003" w:tentative="1">
      <w:start w:val="1"/>
      <w:numFmt w:val="bullet"/>
      <w:lvlText w:val="o"/>
      <w:lvlJc w:val="left"/>
      <w:pPr>
        <w:ind w:left="1140" w:hanging="360"/>
      </w:pPr>
      <w:rPr>
        <w:rFonts w:ascii="Courier New" w:hAnsi="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 w15:restartNumberingAfterBreak="0">
    <w:nsid w:val="24033614"/>
    <w:multiLevelType w:val="hybridMultilevel"/>
    <w:tmpl w:val="C4E61F10"/>
    <w:lvl w:ilvl="0" w:tplc="6F16FEB4">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566384">
    <w:abstractNumId w:val="0"/>
  </w:num>
  <w:num w:numId="2" w16cid:durableId="435949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56"/>
    <w:rsid w:val="00030CAE"/>
    <w:rsid w:val="000314F4"/>
    <w:rsid w:val="0004153B"/>
    <w:rsid w:val="0006364E"/>
    <w:rsid w:val="00073C52"/>
    <w:rsid w:val="00076491"/>
    <w:rsid w:val="000804D6"/>
    <w:rsid w:val="00082F8C"/>
    <w:rsid w:val="00084E78"/>
    <w:rsid w:val="000965B5"/>
    <w:rsid w:val="000A4A0E"/>
    <w:rsid w:val="000C022F"/>
    <w:rsid w:val="000C1C21"/>
    <w:rsid w:val="000C78AF"/>
    <w:rsid w:val="000D318F"/>
    <w:rsid w:val="000D6275"/>
    <w:rsid w:val="000E308D"/>
    <w:rsid w:val="000E3234"/>
    <w:rsid w:val="000F37F2"/>
    <w:rsid w:val="000F3922"/>
    <w:rsid w:val="00102D86"/>
    <w:rsid w:val="001047B9"/>
    <w:rsid w:val="001127E0"/>
    <w:rsid w:val="00112BD8"/>
    <w:rsid w:val="00125D76"/>
    <w:rsid w:val="00126913"/>
    <w:rsid w:val="00136FF1"/>
    <w:rsid w:val="00141733"/>
    <w:rsid w:val="0014749B"/>
    <w:rsid w:val="00151691"/>
    <w:rsid w:val="00152C8A"/>
    <w:rsid w:val="00154AD0"/>
    <w:rsid w:val="001617BF"/>
    <w:rsid w:val="00162604"/>
    <w:rsid w:val="00162CD4"/>
    <w:rsid w:val="0016541F"/>
    <w:rsid w:val="00166514"/>
    <w:rsid w:val="00170CEA"/>
    <w:rsid w:val="00172659"/>
    <w:rsid w:val="00176A6B"/>
    <w:rsid w:val="00176C5F"/>
    <w:rsid w:val="00177376"/>
    <w:rsid w:val="00183AB7"/>
    <w:rsid w:val="001A14E7"/>
    <w:rsid w:val="001A250E"/>
    <w:rsid w:val="001A34AB"/>
    <w:rsid w:val="001A3668"/>
    <w:rsid w:val="001B60CD"/>
    <w:rsid w:val="001C476B"/>
    <w:rsid w:val="001C5C6F"/>
    <w:rsid w:val="001D0D21"/>
    <w:rsid w:val="001D2A4F"/>
    <w:rsid w:val="001E12F2"/>
    <w:rsid w:val="001E2ED9"/>
    <w:rsid w:val="001E3947"/>
    <w:rsid w:val="001E52F6"/>
    <w:rsid w:val="0021074C"/>
    <w:rsid w:val="00211CEB"/>
    <w:rsid w:val="00216DF0"/>
    <w:rsid w:val="0023339E"/>
    <w:rsid w:val="002372CC"/>
    <w:rsid w:val="002425D9"/>
    <w:rsid w:val="0024723B"/>
    <w:rsid w:val="002563A7"/>
    <w:rsid w:val="00256F27"/>
    <w:rsid w:val="0026487F"/>
    <w:rsid w:val="00266756"/>
    <w:rsid w:val="00270D14"/>
    <w:rsid w:val="00272197"/>
    <w:rsid w:val="00274C2F"/>
    <w:rsid w:val="00282463"/>
    <w:rsid w:val="00282A89"/>
    <w:rsid w:val="0028546D"/>
    <w:rsid w:val="002927FE"/>
    <w:rsid w:val="00292FAF"/>
    <w:rsid w:val="00296830"/>
    <w:rsid w:val="002A12B7"/>
    <w:rsid w:val="002A2346"/>
    <w:rsid w:val="002B14E7"/>
    <w:rsid w:val="002C6CEF"/>
    <w:rsid w:val="002D17D2"/>
    <w:rsid w:val="002E03AD"/>
    <w:rsid w:val="002E752E"/>
    <w:rsid w:val="002F0846"/>
    <w:rsid w:val="002F2DDA"/>
    <w:rsid w:val="002F6A2E"/>
    <w:rsid w:val="00310203"/>
    <w:rsid w:val="0031092C"/>
    <w:rsid w:val="0031394F"/>
    <w:rsid w:val="00316ACF"/>
    <w:rsid w:val="00317688"/>
    <w:rsid w:val="00325760"/>
    <w:rsid w:val="00327288"/>
    <w:rsid w:val="00333AD2"/>
    <w:rsid w:val="00334F56"/>
    <w:rsid w:val="0034364B"/>
    <w:rsid w:val="00345B4A"/>
    <w:rsid w:val="003526E5"/>
    <w:rsid w:val="003550E8"/>
    <w:rsid w:val="00373993"/>
    <w:rsid w:val="003920FD"/>
    <w:rsid w:val="00394DB1"/>
    <w:rsid w:val="00395BEF"/>
    <w:rsid w:val="00396034"/>
    <w:rsid w:val="003A3908"/>
    <w:rsid w:val="003B5849"/>
    <w:rsid w:val="003B6C38"/>
    <w:rsid w:val="003B7F62"/>
    <w:rsid w:val="003C38A1"/>
    <w:rsid w:val="003C4E63"/>
    <w:rsid w:val="003C6E43"/>
    <w:rsid w:val="003D5F84"/>
    <w:rsid w:val="003F35AC"/>
    <w:rsid w:val="00403A10"/>
    <w:rsid w:val="00412464"/>
    <w:rsid w:val="00415B38"/>
    <w:rsid w:val="00416C87"/>
    <w:rsid w:val="00425694"/>
    <w:rsid w:val="00434968"/>
    <w:rsid w:val="00434C01"/>
    <w:rsid w:val="00435967"/>
    <w:rsid w:val="0043681B"/>
    <w:rsid w:val="00442AF7"/>
    <w:rsid w:val="00447BE3"/>
    <w:rsid w:val="0045519A"/>
    <w:rsid w:val="00466333"/>
    <w:rsid w:val="00482331"/>
    <w:rsid w:val="0048441E"/>
    <w:rsid w:val="004A06B6"/>
    <w:rsid w:val="004A1E33"/>
    <w:rsid w:val="004A5895"/>
    <w:rsid w:val="004B5B60"/>
    <w:rsid w:val="004D22DE"/>
    <w:rsid w:val="004D4C06"/>
    <w:rsid w:val="004D5978"/>
    <w:rsid w:val="004D70DD"/>
    <w:rsid w:val="004D7A1C"/>
    <w:rsid w:val="004E63DD"/>
    <w:rsid w:val="004F0172"/>
    <w:rsid w:val="0052151B"/>
    <w:rsid w:val="005221CE"/>
    <w:rsid w:val="005261A4"/>
    <w:rsid w:val="005335DD"/>
    <w:rsid w:val="00553CFE"/>
    <w:rsid w:val="00564B49"/>
    <w:rsid w:val="0056632A"/>
    <w:rsid w:val="0057267A"/>
    <w:rsid w:val="00572A2D"/>
    <w:rsid w:val="00581A4B"/>
    <w:rsid w:val="005851B5"/>
    <w:rsid w:val="00593F6B"/>
    <w:rsid w:val="0059724C"/>
    <w:rsid w:val="005A1041"/>
    <w:rsid w:val="005A1692"/>
    <w:rsid w:val="005A41D6"/>
    <w:rsid w:val="005B07A8"/>
    <w:rsid w:val="005C323D"/>
    <w:rsid w:val="005D02CB"/>
    <w:rsid w:val="005D3DA9"/>
    <w:rsid w:val="005D616B"/>
    <w:rsid w:val="005E3E05"/>
    <w:rsid w:val="005F2706"/>
    <w:rsid w:val="005F2B2E"/>
    <w:rsid w:val="005F3472"/>
    <w:rsid w:val="005F543F"/>
    <w:rsid w:val="00601D1C"/>
    <w:rsid w:val="006040A4"/>
    <w:rsid w:val="00613219"/>
    <w:rsid w:val="00613D9B"/>
    <w:rsid w:val="006140C1"/>
    <w:rsid w:val="00615D24"/>
    <w:rsid w:val="0061759F"/>
    <w:rsid w:val="0063180F"/>
    <w:rsid w:val="006375A7"/>
    <w:rsid w:val="00647A76"/>
    <w:rsid w:val="00647BAB"/>
    <w:rsid w:val="00651042"/>
    <w:rsid w:val="00654896"/>
    <w:rsid w:val="00657CC7"/>
    <w:rsid w:val="00660CF5"/>
    <w:rsid w:val="00664A3E"/>
    <w:rsid w:val="006658E8"/>
    <w:rsid w:val="00665CF2"/>
    <w:rsid w:val="00676210"/>
    <w:rsid w:val="0069164D"/>
    <w:rsid w:val="006A17E1"/>
    <w:rsid w:val="006A39CB"/>
    <w:rsid w:val="006A41FD"/>
    <w:rsid w:val="006A4A8D"/>
    <w:rsid w:val="006B2058"/>
    <w:rsid w:val="006B4659"/>
    <w:rsid w:val="006C66AE"/>
    <w:rsid w:val="006D6990"/>
    <w:rsid w:val="006E4D07"/>
    <w:rsid w:val="006F1A39"/>
    <w:rsid w:val="006F7E99"/>
    <w:rsid w:val="00701AE9"/>
    <w:rsid w:val="00711EBB"/>
    <w:rsid w:val="007124AB"/>
    <w:rsid w:val="00725D62"/>
    <w:rsid w:val="0073346B"/>
    <w:rsid w:val="00735510"/>
    <w:rsid w:val="007363B6"/>
    <w:rsid w:val="00753C60"/>
    <w:rsid w:val="007555C9"/>
    <w:rsid w:val="00763D29"/>
    <w:rsid w:val="00764732"/>
    <w:rsid w:val="00771D24"/>
    <w:rsid w:val="00776CAB"/>
    <w:rsid w:val="00780661"/>
    <w:rsid w:val="00782D91"/>
    <w:rsid w:val="00786584"/>
    <w:rsid w:val="00791571"/>
    <w:rsid w:val="00791AF2"/>
    <w:rsid w:val="00793D7E"/>
    <w:rsid w:val="007964FC"/>
    <w:rsid w:val="007A7187"/>
    <w:rsid w:val="007B47A2"/>
    <w:rsid w:val="007B77B6"/>
    <w:rsid w:val="007D7A7F"/>
    <w:rsid w:val="007D7F84"/>
    <w:rsid w:val="007E3F2D"/>
    <w:rsid w:val="007F3A97"/>
    <w:rsid w:val="0080344A"/>
    <w:rsid w:val="0082260E"/>
    <w:rsid w:val="008348D9"/>
    <w:rsid w:val="008359A2"/>
    <w:rsid w:val="00844E09"/>
    <w:rsid w:val="00845F62"/>
    <w:rsid w:val="008464D4"/>
    <w:rsid w:val="00863334"/>
    <w:rsid w:val="0086680B"/>
    <w:rsid w:val="00871432"/>
    <w:rsid w:val="00881D74"/>
    <w:rsid w:val="008918D0"/>
    <w:rsid w:val="0089391E"/>
    <w:rsid w:val="0089440B"/>
    <w:rsid w:val="008B1672"/>
    <w:rsid w:val="008D00F3"/>
    <w:rsid w:val="008D13AD"/>
    <w:rsid w:val="008D77C7"/>
    <w:rsid w:val="008E5FCA"/>
    <w:rsid w:val="008F1F8E"/>
    <w:rsid w:val="008F3D44"/>
    <w:rsid w:val="008F5B26"/>
    <w:rsid w:val="008F7595"/>
    <w:rsid w:val="00901669"/>
    <w:rsid w:val="00911BA2"/>
    <w:rsid w:val="009216B8"/>
    <w:rsid w:val="00930BAC"/>
    <w:rsid w:val="009314C2"/>
    <w:rsid w:val="00936749"/>
    <w:rsid w:val="009418B7"/>
    <w:rsid w:val="00950820"/>
    <w:rsid w:val="00955EA6"/>
    <w:rsid w:val="00956038"/>
    <w:rsid w:val="00960F99"/>
    <w:rsid w:val="0097503E"/>
    <w:rsid w:val="00976B8E"/>
    <w:rsid w:val="009800CB"/>
    <w:rsid w:val="00986D5C"/>
    <w:rsid w:val="009A0CFF"/>
    <w:rsid w:val="009A2BC3"/>
    <w:rsid w:val="009A474B"/>
    <w:rsid w:val="009A7243"/>
    <w:rsid w:val="009B198D"/>
    <w:rsid w:val="009B65C2"/>
    <w:rsid w:val="009C0E65"/>
    <w:rsid w:val="009D10E4"/>
    <w:rsid w:val="00A06F16"/>
    <w:rsid w:val="00A13C17"/>
    <w:rsid w:val="00A26933"/>
    <w:rsid w:val="00A27F75"/>
    <w:rsid w:val="00A37CBE"/>
    <w:rsid w:val="00A4381D"/>
    <w:rsid w:val="00A511D9"/>
    <w:rsid w:val="00A51DA3"/>
    <w:rsid w:val="00A535E7"/>
    <w:rsid w:val="00A55E2E"/>
    <w:rsid w:val="00A65AB2"/>
    <w:rsid w:val="00A77DB7"/>
    <w:rsid w:val="00A8083F"/>
    <w:rsid w:val="00A835D7"/>
    <w:rsid w:val="00AA0D18"/>
    <w:rsid w:val="00AB0D32"/>
    <w:rsid w:val="00AC0088"/>
    <w:rsid w:val="00AC0E24"/>
    <w:rsid w:val="00AC3047"/>
    <w:rsid w:val="00AC5366"/>
    <w:rsid w:val="00AD0219"/>
    <w:rsid w:val="00AD29C5"/>
    <w:rsid w:val="00AD3B5D"/>
    <w:rsid w:val="00AD5C9A"/>
    <w:rsid w:val="00AD6222"/>
    <w:rsid w:val="00AF6D3F"/>
    <w:rsid w:val="00B06F33"/>
    <w:rsid w:val="00B11A0A"/>
    <w:rsid w:val="00B1632F"/>
    <w:rsid w:val="00B17BC1"/>
    <w:rsid w:val="00B2295C"/>
    <w:rsid w:val="00B23936"/>
    <w:rsid w:val="00B3749A"/>
    <w:rsid w:val="00B44675"/>
    <w:rsid w:val="00B45666"/>
    <w:rsid w:val="00B4571F"/>
    <w:rsid w:val="00B805A6"/>
    <w:rsid w:val="00B8210E"/>
    <w:rsid w:val="00B821F7"/>
    <w:rsid w:val="00B90F46"/>
    <w:rsid w:val="00B97A49"/>
    <w:rsid w:val="00BA28E7"/>
    <w:rsid w:val="00BA6A1F"/>
    <w:rsid w:val="00BA79A5"/>
    <w:rsid w:val="00BB1A03"/>
    <w:rsid w:val="00BC0139"/>
    <w:rsid w:val="00BD1151"/>
    <w:rsid w:val="00BE2367"/>
    <w:rsid w:val="00BE319B"/>
    <w:rsid w:val="00BE3EB9"/>
    <w:rsid w:val="00BF04E9"/>
    <w:rsid w:val="00BF4993"/>
    <w:rsid w:val="00C07CD9"/>
    <w:rsid w:val="00C14FBE"/>
    <w:rsid w:val="00C21A5A"/>
    <w:rsid w:val="00C23F4C"/>
    <w:rsid w:val="00C348EA"/>
    <w:rsid w:val="00C34D72"/>
    <w:rsid w:val="00C416BA"/>
    <w:rsid w:val="00C6347F"/>
    <w:rsid w:val="00C6669B"/>
    <w:rsid w:val="00C7136E"/>
    <w:rsid w:val="00C925FB"/>
    <w:rsid w:val="00C93FD0"/>
    <w:rsid w:val="00C96995"/>
    <w:rsid w:val="00CB5B88"/>
    <w:rsid w:val="00CC14DC"/>
    <w:rsid w:val="00CD3B73"/>
    <w:rsid w:val="00CE39B8"/>
    <w:rsid w:val="00CF0EA0"/>
    <w:rsid w:val="00CF2505"/>
    <w:rsid w:val="00CF3666"/>
    <w:rsid w:val="00CF721F"/>
    <w:rsid w:val="00D0686D"/>
    <w:rsid w:val="00D118E1"/>
    <w:rsid w:val="00D14520"/>
    <w:rsid w:val="00D273D5"/>
    <w:rsid w:val="00D33334"/>
    <w:rsid w:val="00D45927"/>
    <w:rsid w:val="00D5492C"/>
    <w:rsid w:val="00D55C88"/>
    <w:rsid w:val="00D57B29"/>
    <w:rsid w:val="00D9733C"/>
    <w:rsid w:val="00DA77F7"/>
    <w:rsid w:val="00DA7C8C"/>
    <w:rsid w:val="00DC00B4"/>
    <w:rsid w:val="00DC1D5C"/>
    <w:rsid w:val="00DC3576"/>
    <w:rsid w:val="00DD7DAE"/>
    <w:rsid w:val="00DE1352"/>
    <w:rsid w:val="00DF005B"/>
    <w:rsid w:val="00DF011E"/>
    <w:rsid w:val="00DF60CD"/>
    <w:rsid w:val="00E01EC2"/>
    <w:rsid w:val="00E106F9"/>
    <w:rsid w:val="00E16140"/>
    <w:rsid w:val="00E30DAD"/>
    <w:rsid w:val="00E41E5E"/>
    <w:rsid w:val="00E533D8"/>
    <w:rsid w:val="00E64092"/>
    <w:rsid w:val="00E765E5"/>
    <w:rsid w:val="00E85243"/>
    <w:rsid w:val="00E91E79"/>
    <w:rsid w:val="00E9434C"/>
    <w:rsid w:val="00E969F0"/>
    <w:rsid w:val="00E9762F"/>
    <w:rsid w:val="00EA0AB3"/>
    <w:rsid w:val="00EB37D4"/>
    <w:rsid w:val="00EB3CBE"/>
    <w:rsid w:val="00EB69B8"/>
    <w:rsid w:val="00ED7D9E"/>
    <w:rsid w:val="00ED7E84"/>
    <w:rsid w:val="00EE1387"/>
    <w:rsid w:val="00EE217C"/>
    <w:rsid w:val="00EE3198"/>
    <w:rsid w:val="00EE36CC"/>
    <w:rsid w:val="00EE3D6F"/>
    <w:rsid w:val="00EE6385"/>
    <w:rsid w:val="00EE6C91"/>
    <w:rsid w:val="00EF2DBA"/>
    <w:rsid w:val="00EF53CC"/>
    <w:rsid w:val="00EF7E61"/>
    <w:rsid w:val="00F059F0"/>
    <w:rsid w:val="00F101BB"/>
    <w:rsid w:val="00F27C7F"/>
    <w:rsid w:val="00F31B4B"/>
    <w:rsid w:val="00F44525"/>
    <w:rsid w:val="00F45F32"/>
    <w:rsid w:val="00F55B0D"/>
    <w:rsid w:val="00F571D9"/>
    <w:rsid w:val="00F65D9D"/>
    <w:rsid w:val="00F76CF8"/>
    <w:rsid w:val="00F918E5"/>
    <w:rsid w:val="00FA4D38"/>
    <w:rsid w:val="00FB3284"/>
    <w:rsid w:val="00FB4541"/>
    <w:rsid w:val="00FC50CA"/>
    <w:rsid w:val="00FD2A1D"/>
    <w:rsid w:val="00FD2E9A"/>
    <w:rsid w:val="00FD5C9C"/>
    <w:rsid w:val="00FF0391"/>
    <w:rsid w:val="00FF58FF"/>
    <w:rsid w:val="00FF7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322C3BF"/>
  <w15:chartTrackingRefBased/>
  <w15:docId w15:val="{95228C7E-8CA3-4AEC-BE7C-CCBEABAF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756"/>
    <w:rPr>
      <w:rFonts w:ascii="Times New Roman" w:eastAsia="Times New Roman" w:hAnsi="Times New Roman"/>
      <w:sz w:val="24"/>
      <w:szCs w:val="24"/>
      <w:lang w:val="uk-UA"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266756"/>
    <w:pPr>
      <w:tabs>
        <w:tab w:val="center" w:pos="4677"/>
        <w:tab w:val="right" w:pos="9355"/>
      </w:tabs>
    </w:pPr>
  </w:style>
  <w:style w:type="character" w:customStyle="1" w:styleId="FooterChar">
    <w:name w:val="Footer Char"/>
    <w:link w:val="Footer"/>
    <w:uiPriority w:val="99"/>
    <w:semiHidden/>
    <w:locked/>
    <w:rsid w:val="00266756"/>
    <w:rPr>
      <w:rFonts w:ascii="Times New Roman" w:hAnsi="Times New Roman" w:cs="Times New Roman"/>
      <w:sz w:val="24"/>
      <w:szCs w:val="24"/>
      <w:lang w:eastAsia="ru-RU"/>
    </w:rPr>
  </w:style>
  <w:style w:type="character" w:styleId="PageNumber">
    <w:name w:val="page number"/>
    <w:uiPriority w:val="99"/>
    <w:semiHidden/>
    <w:rsid w:val="00266756"/>
    <w:rPr>
      <w:rFonts w:cs="Times New Roman"/>
    </w:rPr>
  </w:style>
  <w:style w:type="character" w:customStyle="1" w:styleId="longtext">
    <w:name w:val="long_text"/>
    <w:uiPriority w:val="99"/>
    <w:rsid w:val="00266756"/>
  </w:style>
  <w:style w:type="character" w:customStyle="1" w:styleId="hps">
    <w:name w:val="hps"/>
    <w:uiPriority w:val="99"/>
    <w:rsid w:val="00266756"/>
    <w:rPr>
      <w:rFonts w:cs="Times New Roman"/>
    </w:rPr>
  </w:style>
  <w:style w:type="character" w:customStyle="1" w:styleId="st1">
    <w:name w:val="st1"/>
    <w:uiPriority w:val="99"/>
    <w:rsid w:val="001127E0"/>
    <w:rPr>
      <w:rFonts w:cs="Times New Roman"/>
    </w:rPr>
  </w:style>
  <w:style w:type="paragraph" w:customStyle="1" w:styleId="Style4">
    <w:name w:val="Style4"/>
    <w:basedOn w:val="Normal"/>
    <w:uiPriority w:val="99"/>
    <w:rsid w:val="00881D74"/>
    <w:pPr>
      <w:widowControl w:val="0"/>
      <w:autoSpaceDE w:val="0"/>
      <w:autoSpaceDN w:val="0"/>
      <w:adjustRightInd w:val="0"/>
    </w:pPr>
    <w:rPr>
      <w:rFonts w:eastAsia="SimSun"/>
      <w:lang w:val="ru-RU"/>
    </w:rPr>
  </w:style>
  <w:style w:type="character" w:customStyle="1" w:styleId="FontStyle14">
    <w:name w:val="Font Style14"/>
    <w:uiPriority w:val="99"/>
    <w:rsid w:val="00881D74"/>
    <w:rPr>
      <w:rFonts w:ascii="Times New Roman" w:hAnsi="Times New Roman" w:cs="Times New Roman"/>
      <w:sz w:val="20"/>
      <w:szCs w:val="20"/>
    </w:rPr>
  </w:style>
  <w:style w:type="paragraph" w:styleId="BalloonText">
    <w:name w:val="Balloon Text"/>
    <w:basedOn w:val="Normal"/>
    <w:link w:val="BalloonTextChar"/>
    <w:uiPriority w:val="99"/>
    <w:semiHidden/>
    <w:rsid w:val="005D3DA9"/>
    <w:rPr>
      <w:rFonts w:ascii="Tahoma" w:hAnsi="Tahoma" w:cs="Tahoma"/>
      <w:sz w:val="16"/>
      <w:szCs w:val="16"/>
    </w:rPr>
  </w:style>
  <w:style w:type="character" w:customStyle="1" w:styleId="BalloonTextChar">
    <w:name w:val="Balloon Text Char"/>
    <w:link w:val="BalloonText"/>
    <w:uiPriority w:val="99"/>
    <w:semiHidden/>
    <w:locked/>
    <w:rsid w:val="005D3DA9"/>
    <w:rPr>
      <w:rFonts w:ascii="Tahoma" w:hAnsi="Tahoma" w:cs="Tahoma"/>
      <w:sz w:val="16"/>
      <w:szCs w:val="16"/>
      <w:lang w:eastAsia="ru-RU"/>
    </w:rPr>
  </w:style>
  <w:style w:type="table" w:styleId="TableGrid">
    <w:name w:val="Table Grid"/>
    <w:basedOn w:val="TableNormal"/>
    <w:uiPriority w:val="99"/>
    <w:locked/>
    <w:rsid w:val="007555C9"/>
    <w:rPr>
      <w:rFonts w:eastAsia="SimSun"/>
      <w:szCs w:val="28"/>
      <w:lang w:val="sr-Latn-CS"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D33334"/>
    <w:rPr>
      <w:rFonts w:ascii="Times New Roman" w:hAnsi="Times New Roman"/>
      <w:sz w:val="20"/>
    </w:rPr>
  </w:style>
  <w:style w:type="character" w:styleId="Emphasis">
    <w:name w:val="Emphasis"/>
    <w:uiPriority w:val="99"/>
    <w:qFormat/>
    <w:locked/>
    <w:rsid w:val="008F5B26"/>
    <w:rPr>
      <w:rFonts w:cs="Times New Roman"/>
      <w:b/>
    </w:rPr>
  </w:style>
  <w:style w:type="character" w:customStyle="1" w:styleId="st">
    <w:name w:val="st"/>
    <w:uiPriority w:val="99"/>
    <w:rsid w:val="008F5B26"/>
  </w:style>
  <w:style w:type="paragraph" w:customStyle="1" w:styleId="Default">
    <w:name w:val="Default"/>
    <w:uiPriority w:val="99"/>
    <w:rsid w:val="00082F8C"/>
    <w:pPr>
      <w:autoSpaceDE w:val="0"/>
      <w:autoSpaceDN w:val="0"/>
      <w:adjustRightInd w:val="0"/>
    </w:pPr>
    <w:rPr>
      <w:rFonts w:ascii="Times New Roman" w:eastAsia="PMingLiU" w:hAnsi="Times New Roman"/>
      <w:color w:val="000000"/>
      <w:sz w:val="24"/>
      <w:szCs w:val="24"/>
      <w:lang w:val="de-DE" w:eastAsia="de-DE"/>
    </w:rPr>
  </w:style>
  <w:style w:type="paragraph" w:customStyle="1" w:styleId="HTMLPreformatted1">
    <w:name w:val="HTML Preformatted1"/>
    <w:basedOn w:val="Normal"/>
    <w:uiPriority w:val="99"/>
    <w:rsid w:val="0059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pPr>
    <w:rPr>
      <w:rFonts w:ascii="Courier New" w:hAnsi="Courier New"/>
      <w:sz w:val="20"/>
      <w:szCs w:val="20"/>
      <w:lang w:eastAsia="ar-SA"/>
    </w:rPr>
  </w:style>
  <w:style w:type="character" w:styleId="CommentReference">
    <w:name w:val="annotation reference"/>
    <w:uiPriority w:val="99"/>
    <w:semiHidden/>
    <w:rsid w:val="007964FC"/>
    <w:rPr>
      <w:rFonts w:cs="Times New Roman"/>
      <w:sz w:val="16"/>
      <w:szCs w:val="16"/>
    </w:rPr>
  </w:style>
  <w:style w:type="paragraph" w:styleId="CommentText">
    <w:name w:val="annotation text"/>
    <w:basedOn w:val="Normal"/>
    <w:link w:val="CommentTextChar"/>
    <w:uiPriority w:val="99"/>
    <w:semiHidden/>
    <w:rsid w:val="007964FC"/>
    <w:rPr>
      <w:sz w:val="20"/>
      <w:szCs w:val="20"/>
    </w:rPr>
  </w:style>
  <w:style w:type="character" w:customStyle="1" w:styleId="CommentTextChar">
    <w:name w:val="Comment Text Char"/>
    <w:link w:val="CommentText"/>
    <w:uiPriority w:val="99"/>
    <w:semiHidden/>
    <w:locked/>
    <w:rsid w:val="007964FC"/>
    <w:rPr>
      <w:rFonts w:ascii="Times New Roman" w:hAnsi="Times New Roman" w:cs="Times New Roman"/>
      <w:sz w:val="20"/>
      <w:szCs w:val="20"/>
      <w:lang w:val="uk-UA"/>
    </w:rPr>
  </w:style>
  <w:style w:type="paragraph" w:styleId="CommentSubject">
    <w:name w:val="annotation subject"/>
    <w:basedOn w:val="CommentText"/>
    <w:next w:val="CommentText"/>
    <w:link w:val="CommentSubjectChar"/>
    <w:uiPriority w:val="99"/>
    <w:semiHidden/>
    <w:rsid w:val="007964FC"/>
    <w:rPr>
      <w:b/>
      <w:bCs/>
    </w:rPr>
  </w:style>
  <w:style w:type="character" w:customStyle="1" w:styleId="CommentSubjectChar">
    <w:name w:val="Comment Subject Char"/>
    <w:link w:val="CommentSubject"/>
    <w:uiPriority w:val="99"/>
    <w:semiHidden/>
    <w:locked/>
    <w:rsid w:val="007964FC"/>
    <w:rPr>
      <w:rFonts w:ascii="Times New Roman" w:hAnsi="Times New Roman" w:cs="Times New Roman"/>
      <w:b/>
      <w:bCs/>
      <w:sz w:val="20"/>
      <w:szCs w:val="20"/>
      <w:lang w:val="uk-UA"/>
    </w:rPr>
  </w:style>
  <w:style w:type="paragraph" w:styleId="Revision">
    <w:name w:val="Revision"/>
    <w:hidden/>
    <w:uiPriority w:val="99"/>
    <w:semiHidden/>
    <w:rsid w:val="00B4571F"/>
    <w:rPr>
      <w:rFonts w:ascii="Times New Roman" w:eastAsia="Times New Roman" w:hAnsi="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4</Pages>
  <Words>1366</Words>
  <Characters>9381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Коротка характеристика препарату</vt:lpstr>
    </vt:vector>
  </TitlesOfParts>
  <Company>Boehringer Ingelheim</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Коротка характеристика препарату</dc:title>
  <dc:subject/>
  <dc:creator>Romashkan,Neonila (AH) BI-UA-K</dc:creator>
  <cp:keywords/>
  <cp:lastModifiedBy>Romashkan,Neonila (AH RA_PV_CO) BI-UA-K</cp:lastModifiedBy>
  <cp:revision>6</cp:revision>
  <cp:lastPrinted>2013-10-22T14:57:00Z</cp:lastPrinted>
  <dcterms:created xsi:type="dcterms:W3CDTF">2025-01-14T07:25:00Z</dcterms:created>
  <dcterms:modified xsi:type="dcterms:W3CDTF">2025-06-03T09:27:00Z</dcterms:modified>
</cp:coreProperties>
</file>