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09D0" w14:textId="77777777" w:rsidR="009F6FA4" w:rsidRPr="009F6FA4" w:rsidRDefault="009F6FA4" w:rsidP="009F6FA4">
      <w:pPr>
        <w:jc w:val="center"/>
        <w:rPr>
          <w:b/>
        </w:rPr>
      </w:pPr>
      <w:r w:rsidRPr="009F6FA4">
        <w:rPr>
          <w:b/>
        </w:rPr>
        <w:t>Коротка характеристика препарату</w:t>
      </w:r>
    </w:p>
    <w:p w14:paraId="2CD85232" w14:textId="77777777" w:rsidR="009F6FA4" w:rsidRPr="009F6FA4" w:rsidRDefault="009F6FA4" w:rsidP="009F6FA4">
      <w:pPr>
        <w:jc w:val="center"/>
        <w:rPr>
          <w:b/>
        </w:rPr>
      </w:pPr>
    </w:p>
    <w:p w14:paraId="01D615A5" w14:textId="77777777" w:rsidR="009F6FA4" w:rsidRPr="009F6FA4" w:rsidRDefault="009F6FA4" w:rsidP="009F6FA4">
      <w:pPr>
        <w:tabs>
          <w:tab w:val="left" w:pos="284"/>
        </w:tabs>
        <w:jc w:val="both"/>
        <w:rPr>
          <w:b/>
        </w:rPr>
      </w:pPr>
      <w:r w:rsidRPr="009F6FA4">
        <w:rPr>
          <w:b/>
        </w:rPr>
        <w:t>1. Назва ветеринарного препарату</w:t>
      </w:r>
    </w:p>
    <w:p w14:paraId="0D090761" w14:textId="77777777" w:rsidR="009F6FA4" w:rsidRPr="009F6FA4" w:rsidRDefault="009F6FA4" w:rsidP="009F6FA4">
      <w:pPr>
        <w:tabs>
          <w:tab w:val="left" w:pos="284"/>
        </w:tabs>
        <w:jc w:val="both"/>
      </w:pPr>
      <w:r>
        <w:t>Бурса Гард Рео, Bursa Guard</w:t>
      </w:r>
      <w:r w:rsidRPr="009F6FA4">
        <w:t xml:space="preserve"> Reo - вакцина інактивована проти інфекційної бурсальної хвороби та реовірусної інфекції птиці.</w:t>
      </w:r>
    </w:p>
    <w:p w14:paraId="2E6CBCB4" w14:textId="77777777" w:rsidR="009F6FA4" w:rsidRPr="009F6FA4" w:rsidRDefault="009F6FA4" w:rsidP="009F6FA4">
      <w:pPr>
        <w:tabs>
          <w:tab w:val="left" w:pos="284"/>
        </w:tabs>
        <w:jc w:val="both"/>
        <w:rPr>
          <w:b/>
        </w:rPr>
      </w:pPr>
      <w:r w:rsidRPr="009F6FA4">
        <w:rPr>
          <w:b/>
        </w:rPr>
        <w:t>2. Якісний і кількісний склад</w:t>
      </w:r>
    </w:p>
    <w:p w14:paraId="1C901329" w14:textId="77777777" w:rsidR="009F6FA4" w:rsidRPr="009F6FA4" w:rsidRDefault="009F6FA4" w:rsidP="009F6FA4">
      <w:pPr>
        <w:tabs>
          <w:tab w:val="left" w:pos="284"/>
          <w:tab w:val="left" w:pos="426"/>
        </w:tabs>
        <w:jc w:val="both"/>
      </w:pPr>
      <w:bookmarkStart w:id="0" w:name="OLE_LINK1"/>
      <w:bookmarkStart w:id="1" w:name="OLE_LINK2"/>
      <w:r w:rsidRPr="009F6FA4">
        <w:t>Одна доза (0,5 мл) вакцини містить:</w:t>
      </w:r>
    </w:p>
    <w:p w14:paraId="5E3BC4F3" w14:textId="77777777" w:rsidR="009F6FA4" w:rsidRPr="009F6FA4" w:rsidRDefault="009F6FA4" w:rsidP="009F6FA4">
      <w:pPr>
        <w:tabs>
          <w:tab w:val="left" w:pos="284"/>
          <w:tab w:val="left" w:pos="426"/>
        </w:tabs>
        <w:jc w:val="both"/>
      </w:pPr>
      <w:r w:rsidRPr="009F6FA4">
        <w:t>активнодіючі речовини:</w:t>
      </w:r>
    </w:p>
    <w:p w14:paraId="35FF978D" w14:textId="11BB8436" w:rsidR="009F6FA4" w:rsidRPr="009F6FA4" w:rsidRDefault="009F6FA4" w:rsidP="009F6FA4">
      <w:pPr>
        <w:jc w:val="both"/>
      </w:pPr>
      <w:r w:rsidRPr="009F6FA4">
        <w:t>інактивований реовірус, штам S1133……………………………………..………..</w:t>
      </w:r>
      <w:r w:rsidR="008864D9">
        <w:t>.........</w:t>
      </w:r>
      <w:r w:rsidRPr="009F6FA4">
        <w:t>…</w:t>
      </w:r>
      <w:r w:rsidR="00DC5785" w:rsidRPr="00DC5785">
        <w:rPr>
          <w:lang w:val="ru-RU"/>
        </w:rPr>
        <w:t>.</w:t>
      </w:r>
      <w:r w:rsidRPr="009F6FA4">
        <w:t>≥</w:t>
      </w:r>
      <w:r w:rsidR="008864D9">
        <w:t> </w:t>
      </w:r>
      <w:r w:rsidRPr="009F6FA4">
        <w:t>10</w:t>
      </w:r>
      <w:r w:rsidRPr="009F6FA4">
        <w:rPr>
          <w:vertAlign w:val="superscript"/>
        </w:rPr>
        <w:t>6,</w:t>
      </w:r>
      <w:r w:rsidR="00E33E2D" w:rsidRPr="0047696E">
        <w:rPr>
          <w:vertAlign w:val="superscript"/>
        </w:rPr>
        <w:t>9</w:t>
      </w:r>
      <w:r w:rsidR="00E33E2D" w:rsidRPr="009F6FA4">
        <w:rPr>
          <w:vertAlign w:val="superscript"/>
        </w:rPr>
        <w:t>7</w:t>
      </w:r>
      <w:r w:rsidR="00E33E2D" w:rsidRPr="009F6FA4">
        <w:t xml:space="preserve"> </w:t>
      </w:r>
      <w:r w:rsidRPr="009F6FA4">
        <w:t>EID</w:t>
      </w:r>
      <w:r w:rsidRPr="009F6FA4">
        <w:rPr>
          <w:vertAlign w:val="subscript"/>
        </w:rPr>
        <w:t>50</w:t>
      </w:r>
      <w:r w:rsidRPr="009F6FA4">
        <w:t>;</w:t>
      </w:r>
    </w:p>
    <w:p w14:paraId="2965C25B" w14:textId="61CBBFFE" w:rsidR="009F6FA4" w:rsidRPr="009F6FA4" w:rsidRDefault="009F6FA4" w:rsidP="009F6FA4">
      <w:pPr>
        <w:jc w:val="both"/>
      </w:pPr>
      <w:r w:rsidRPr="009F6FA4">
        <w:t>інактивований реовірус, штам S2408…………………………………………………</w:t>
      </w:r>
      <w:r w:rsidR="008864D9">
        <w:t>.......</w:t>
      </w:r>
      <w:r w:rsidR="00DC5785" w:rsidRPr="00BA17C1">
        <w:t>.</w:t>
      </w:r>
      <w:r w:rsidR="008864D9">
        <w:t>.</w:t>
      </w:r>
      <w:r w:rsidRPr="009F6FA4">
        <w:t>.≥</w:t>
      </w:r>
      <w:r w:rsidR="008864D9">
        <w:t> </w:t>
      </w:r>
      <w:r w:rsidRPr="009F6FA4">
        <w:t>10</w:t>
      </w:r>
      <w:r w:rsidRPr="009F6FA4">
        <w:rPr>
          <w:vertAlign w:val="superscript"/>
        </w:rPr>
        <w:t>7,21</w:t>
      </w:r>
      <w:r w:rsidRPr="009F6FA4">
        <w:t xml:space="preserve"> EID</w:t>
      </w:r>
      <w:r w:rsidRPr="009F6FA4">
        <w:rPr>
          <w:vertAlign w:val="subscript"/>
        </w:rPr>
        <w:t>50</w:t>
      </w:r>
      <w:r w:rsidRPr="009F6FA4">
        <w:t>;</w:t>
      </w:r>
    </w:p>
    <w:p w14:paraId="3FDDF77F" w14:textId="60914BD6" w:rsidR="009F6FA4" w:rsidRPr="009F6FA4" w:rsidRDefault="009F6FA4" w:rsidP="009F6FA4">
      <w:pPr>
        <w:jc w:val="both"/>
      </w:pPr>
      <w:r w:rsidRPr="009F6FA4">
        <w:t>інактивований реовірус, штам МSВ……………………………..………….………..</w:t>
      </w:r>
      <w:r w:rsidR="008864D9">
        <w:t>.......</w:t>
      </w:r>
      <w:r w:rsidR="00DC5785" w:rsidRPr="00BA17C1">
        <w:t>.</w:t>
      </w:r>
      <w:r w:rsidR="008864D9">
        <w:t>..</w:t>
      </w:r>
      <w:r w:rsidRPr="009F6FA4">
        <w:t>.≥</w:t>
      </w:r>
      <w:r w:rsidR="008864D9">
        <w:t> </w:t>
      </w:r>
      <w:r w:rsidRPr="009F6FA4">
        <w:t>10</w:t>
      </w:r>
      <w:r w:rsidRPr="009F6FA4">
        <w:rPr>
          <w:vertAlign w:val="superscript"/>
        </w:rPr>
        <w:t>7,39</w:t>
      </w:r>
      <w:r w:rsidRPr="009F6FA4">
        <w:t xml:space="preserve"> EID</w:t>
      </w:r>
      <w:r w:rsidRPr="009F6FA4">
        <w:rPr>
          <w:vertAlign w:val="subscript"/>
        </w:rPr>
        <w:t>50</w:t>
      </w:r>
      <w:r w:rsidRPr="009F6FA4">
        <w:t>;</w:t>
      </w:r>
    </w:p>
    <w:p w14:paraId="416CA631" w14:textId="77777777" w:rsidR="009F6FA4" w:rsidRPr="009F6FA4" w:rsidRDefault="009F6FA4" w:rsidP="009F6FA4">
      <w:pPr>
        <w:jc w:val="both"/>
      </w:pPr>
      <w:r w:rsidRPr="009F6FA4">
        <w:t>інактивований вірус бурсальної хвороби, штам Variant 1084 Е………………….....</w:t>
      </w:r>
      <w:r w:rsidR="008864D9">
        <w:t>........</w:t>
      </w:r>
      <w:r w:rsidRPr="009F6FA4">
        <w:t>.</w:t>
      </w:r>
      <w:r w:rsidRPr="009F6FA4">
        <w:rPr>
          <w:b/>
        </w:rPr>
        <w:t xml:space="preserve"> </w:t>
      </w:r>
      <w:r w:rsidRPr="009F6FA4">
        <w:t>≥</w:t>
      </w:r>
      <w:r w:rsidR="008864D9">
        <w:t> </w:t>
      </w:r>
      <w:r w:rsidRPr="009F6FA4">
        <w:t>10</w:t>
      </w:r>
      <w:r w:rsidRPr="009F6FA4">
        <w:rPr>
          <w:vertAlign w:val="superscript"/>
        </w:rPr>
        <w:t>4,5</w:t>
      </w:r>
      <w:r w:rsidRPr="009F6FA4">
        <w:t xml:space="preserve"> EID</w:t>
      </w:r>
      <w:r w:rsidRPr="009F6FA4">
        <w:rPr>
          <w:vertAlign w:val="subscript"/>
        </w:rPr>
        <w:t>50</w:t>
      </w:r>
      <w:r w:rsidRPr="009F6FA4">
        <w:t>;</w:t>
      </w:r>
    </w:p>
    <w:p w14:paraId="00308497" w14:textId="77777777" w:rsidR="009F6FA4" w:rsidRPr="009F6FA4" w:rsidRDefault="009F6FA4" w:rsidP="009F6FA4">
      <w:pPr>
        <w:jc w:val="both"/>
      </w:pPr>
      <w:r w:rsidRPr="009F6FA4">
        <w:t>інактивований вірус бурсальної хвороби, штам Standard……………………………</w:t>
      </w:r>
      <w:r w:rsidR="008864D9">
        <w:t>..........</w:t>
      </w:r>
      <w:r w:rsidRPr="009F6FA4">
        <w:t>≥</w:t>
      </w:r>
      <w:r w:rsidR="008864D9">
        <w:t> </w:t>
      </w:r>
      <w:r w:rsidRPr="009F6FA4">
        <w:t>10</w:t>
      </w:r>
      <w:r w:rsidRPr="009F6FA4">
        <w:rPr>
          <w:vertAlign w:val="superscript"/>
        </w:rPr>
        <w:t>4,7</w:t>
      </w:r>
      <w:r w:rsidRPr="009F6FA4">
        <w:t xml:space="preserve"> EID</w:t>
      </w:r>
      <w:r w:rsidRPr="009F6FA4">
        <w:rPr>
          <w:vertAlign w:val="subscript"/>
        </w:rPr>
        <w:t>50</w:t>
      </w:r>
      <w:r w:rsidRPr="009F6FA4">
        <w:t>;</w:t>
      </w:r>
    </w:p>
    <w:p w14:paraId="605B3FB6" w14:textId="77777777" w:rsidR="009F6FA4" w:rsidRPr="009F6FA4" w:rsidRDefault="009F6FA4" w:rsidP="009F6FA4">
      <w:pPr>
        <w:jc w:val="both"/>
      </w:pPr>
      <w:r w:rsidRPr="009F6FA4">
        <w:t>допоміжні речовини:</w:t>
      </w:r>
    </w:p>
    <w:p w14:paraId="27A8256D" w14:textId="12E756C9" w:rsidR="009F6FA4" w:rsidRPr="00BA17C1" w:rsidRDefault="00BA17C1" w:rsidP="009F6FA4">
      <w:pPr>
        <w:jc w:val="both"/>
      </w:pPr>
      <w:bookmarkStart w:id="2" w:name="_Hlk199170654"/>
      <w:r>
        <w:t>ф</w:t>
      </w:r>
      <w:r w:rsidRPr="00BA17C1">
        <w:t>ормальдегід</w:t>
      </w:r>
      <w:bookmarkEnd w:id="2"/>
      <w:r w:rsidR="009F6FA4" w:rsidRPr="009F6FA4">
        <w:t>……………………………………………………………………</w:t>
      </w:r>
      <w:r w:rsidR="0026482C">
        <w:rPr>
          <w:lang w:val="en-US"/>
        </w:rPr>
        <w:t>…</w:t>
      </w:r>
      <w:r w:rsidR="009F6FA4" w:rsidRPr="009F6FA4">
        <w:t>……</w:t>
      </w:r>
      <w:r w:rsidR="008864D9">
        <w:t>........</w:t>
      </w:r>
      <w:r w:rsidR="00DC5785" w:rsidRPr="00BA17C1">
        <w:t>....</w:t>
      </w:r>
      <w:r w:rsidR="008864D9">
        <w:t>.</w:t>
      </w:r>
      <w:r w:rsidR="009F6FA4" w:rsidRPr="009F6FA4">
        <w:t xml:space="preserve">≤ </w:t>
      </w:r>
      <w:r w:rsidR="00F149AE" w:rsidRPr="00F149AE">
        <w:t>0,74 г/л</w:t>
      </w:r>
      <w:r w:rsidR="009F6FA4" w:rsidRPr="009F6FA4">
        <w:t>;</w:t>
      </w:r>
    </w:p>
    <w:p w14:paraId="78B09592" w14:textId="77777777" w:rsidR="009F6FA4" w:rsidRPr="009F6FA4" w:rsidRDefault="009F6FA4" w:rsidP="009F6FA4">
      <w:pPr>
        <w:tabs>
          <w:tab w:val="left" w:pos="284"/>
          <w:tab w:val="left" w:pos="426"/>
        </w:tabs>
        <w:jc w:val="both"/>
      </w:pPr>
      <w:r w:rsidRPr="009F6FA4">
        <w:t>масляний наповнювач…………………………………...................................................</w:t>
      </w:r>
      <w:r w:rsidR="008864D9">
        <w:t>.........</w:t>
      </w:r>
      <w:r w:rsidRPr="009F6FA4">
        <w:t>..≤ 0,308 мл;</w:t>
      </w:r>
    </w:p>
    <w:p w14:paraId="2966ED1D" w14:textId="77777777" w:rsidR="009F6FA4" w:rsidRPr="009F6FA4" w:rsidRDefault="009F6FA4" w:rsidP="009F6FA4">
      <w:pPr>
        <w:tabs>
          <w:tab w:val="left" w:pos="284"/>
          <w:tab w:val="left" w:pos="426"/>
        </w:tabs>
        <w:jc w:val="both"/>
        <w:rPr>
          <w:rStyle w:val="FontStyle15"/>
          <w:sz w:val="24"/>
          <w:szCs w:val="24"/>
        </w:rPr>
      </w:pPr>
      <w:r w:rsidRPr="009F6FA4">
        <w:t>деіонізована вода……………………………………………………………………...…</w:t>
      </w:r>
      <w:r w:rsidR="008864D9">
        <w:t>..........</w:t>
      </w:r>
      <w:r w:rsidRPr="009F6FA4">
        <w:t xml:space="preserve">..≤ 0,097 мл.                             </w:t>
      </w:r>
    </w:p>
    <w:bookmarkEnd w:id="0"/>
    <w:bookmarkEnd w:id="1"/>
    <w:p w14:paraId="6CA33ABD" w14:textId="77777777" w:rsidR="009F6FA4" w:rsidRPr="009F6FA4" w:rsidRDefault="009F6FA4" w:rsidP="009F6FA4">
      <w:pPr>
        <w:tabs>
          <w:tab w:val="left" w:pos="284"/>
        </w:tabs>
        <w:jc w:val="both"/>
        <w:rPr>
          <w:b/>
        </w:rPr>
      </w:pPr>
      <w:r w:rsidRPr="009F6FA4">
        <w:rPr>
          <w:b/>
        </w:rPr>
        <w:t>3. Фармацевтична форма</w:t>
      </w:r>
    </w:p>
    <w:p w14:paraId="4D115042" w14:textId="77777777" w:rsidR="009F6FA4" w:rsidRPr="009F6FA4" w:rsidRDefault="009F6FA4" w:rsidP="009F6FA4">
      <w:pPr>
        <w:tabs>
          <w:tab w:val="left" w:pos="284"/>
        </w:tabs>
        <w:jc w:val="both"/>
      </w:pPr>
      <w:r w:rsidRPr="009F6FA4">
        <w:t>Емульсія для ін’єкцій.</w:t>
      </w:r>
    </w:p>
    <w:p w14:paraId="2C40C786" w14:textId="77777777" w:rsidR="009F6FA4" w:rsidRPr="009F6FA4" w:rsidRDefault="009F6FA4" w:rsidP="009F6FA4">
      <w:pPr>
        <w:tabs>
          <w:tab w:val="left" w:pos="284"/>
        </w:tabs>
        <w:jc w:val="both"/>
        <w:rPr>
          <w:b/>
        </w:rPr>
      </w:pPr>
      <w:r w:rsidRPr="009F6FA4">
        <w:rPr>
          <w:b/>
        </w:rPr>
        <w:t>4. Імунобіологічні властивості</w:t>
      </w:r>
    </w:p>
    <w:p w14:paraId="4C332776" w14:textId="77777777" w:rsidR="009F6FA4" w:rsidRPr="009F6FA4" w:rsidRDefault="009F6FA4" w:rsidP="009F6FA4">
      <w:pPr>
        <w:pStyle w:val="BodyText2"/>
        <w:spacing w:after="0" w:line="240" w:lineRule="auto"/>
        <w:contextualSpacing/>
        <w:jc w:val="both"/>
      </w:pPr>
      <w:r w:rsidRPr="009F6FA4">
        <w:t>Вакцина стимулює підвищення рівня пасивного імунітету у майбутнього потомства птиці, проти інфекційної бурсальної хвороби та реовірусної інфекції.</w:t>
      </w:r>
    </w:p>
    <w:p w14:paraId="617DB427" w14:textId="77777777" w:rsidR="009F6FA4" w:rsidRPr="009F6FA4" w:rsidRDefault="009F6FA4" w:rsidP="009F6FA4">
      <w:pPr>
        <w:jc w:val="both"/>
      </w:pPr>
      <w:r w:rsidRPr="009F6FA4">
        <w:t>Період виникнення імунітету: пасивний імунітет з’являється у курчат вже одразу після народження.</w:t>
      </w:r>
    </w:p>
    <w:p w14:paraId="2E7537A7" w14:textId="77777777" w:rsidR="009F6FA4" w:rsidRPr="009F6FA4" w:rsidRDefault="009F6FA4" w:rsidP="009F6FA4">
      <w:pPr>
        <w:jc w:val="both"/>
      </w:pPr>
      <w:r w:rsidRPr="009F6FA4">
        <w:t>Тривалість імунітету: до поки в організмі курчат зберігаються антитіла.</w:t>
      </w:r>
    </w:p>
    <w:p w14:paraId="61E4C254" w14:textId="77777777" w:rsidR="009F6FA4" w:rsidRPr="009F6FA4" w:rsidRDefault="009F6FA4" w:rsidP="009F6FA4">
      <w:pPr>
        <w:tabs>
          <w:tab w:val="left" w:pos="284"/>
        </w:tabs>
        <w:jc w:val="both"/>
        <w:rPr>
          <w:b/>
        </w:rPr>
      </w:pPr>
      <w:r w:rsidRPr="009F6FA4">
        <w:rPr>
          <w:b/>
        </w:rPr>
        <w:t>5. Клінічні особливості</w:t>
      </w:r>
    </w:p>
    <w:p w14:paraId="2000075B" w14:textId="77777777" w:rsidR="009F6FA4" w:rsidRPr="009F6FA4" w:rsidRDefault="009F6FA4" w:rsidP="009F6FA4">
      <w:pPr>
        <w:tabs>
          <w:tab w:val="left" w:pos="284"/>
        </w:tabs>
        <w:jc w:val="both"/>
        <w:rPr>
          <w:b/>
        </w:rPr>
      </w:pPr>
      <w:r w:rsidRPr="009F6FA4">
        <w:rPr>
          <w:b/>
        </w:rPr>
        <w:t>5.1. Вид тварин</w:t>
      </w:r>
    </w:p>
    <w:p w14:paraId="3C26E4AF" w14:textId="77777777" w:rsidR="009F6FA4" w:rsidRPr="00EB6781" w:rsidRDefault="009F6FA4" w:rsidP="009F6FA4">
      <w:pPr>
        <w:pStyle w:val="Style8"/>
        <w:widowControl/>
        <w:tabs>
          <w:tab w:val="left" w:pos="284"/>
        </w:tabs>
        <w:spacing w:line="240" w:lineRule="auto"/>
      </w:pPr>
      <w:r w:rsidRPr="009F6FA4">
        <w:rPr>
          <w:lang w:val="uk-UA"/>
        </w:rPr>
        <w:t>Кури (батьківське поголів’я та ремонтний молодняк)</w:t>
      </w:r>
      <w:r w:rsidR="00EB6781" w:rsidRPr="00EB6781">
        <w:t>.</w:t>
      </w:r>
    </w:p>
    <w:p w14:paraId="3B1FD103" w14:textId="77777777" w:rsidR="009F6FA4" w:rsidRPr="009F6FA4" w:rsidRDefault="009F6FA4" w:rsidP="009F6FA4">
      <w:pPr>
        <w:tabs>
          <w:tab w:val="left" w:pos="284"/>
        </w:tabs>
        <w:jc w:val="both"/>
        <w:rPr>
          <w:b/>
        </w:rPr>
      </w:pPr>
      <w:r w:rsidRPr="009F6FA4">
        <w:rPr>
          <w:b/>
        </w:rPr>
        <w:t>5.2. Показання до застосування</w:t>
      </w:r>
    </w:p>
    <w:p w14:paraId="4EA225D9" w14:textId="77777777" w:rsidR="009F6FA4" w:rsidRPr="009F6FA4" w:rsidRDefault="009F6FA4" w:rsidP="009F6FA4">
      <w:pPr>
        <w:pStyle w:val="BodyText2"/>
        <w:spacing w:after="0" w:line="240" w:lineRule="auto"/>
        <w:contextualSpacing/>
        <w:jc w:val="both"/>
      </w:pPr>
      <w:r w:rsidRPr="009F6FA4">
        <w:t>Вакцину застосовують для вакцинації батьківського поголів’я та ремонтного молодняку птиці для профілактики синдрому мальабсорбції, викликаного реовірусом та для забезпечення раннього захисту потомства материнськими антитілами проти інфекційної бурсальної хвороби та реовірусної інфекції птиці.</w:t>
      </w:r>
    </w:p>
    <w:p w14:paraId="3D92D3CB" w14:textId="77777777" w:rsidR="009F6FA4" w:rsidRPr="009F6FA4" w:rsidRDefault="009F6FA4" w:rsidP="009F6FA4">
      <w:pPr>
        <w:jc w:val="both"/>
        <w:rPr>
          <w:b/>
        </w:rPr>
      </w:pPr>
      <w:r w:rsidRPr="009F6FA4">
        <w:rPr>
          <w:b/>
        </w:rPr>
        <w:t>5.3. Протипоказання</w:t>
      </w:r>
    </w:p>
    <w:p w14:paraId="44D3E40B" w14:textId="77777777" w:rsidR="009F6FA4" w:rsidRPr="009F6FA4" w:rsidRDefault="009F6FA4" w:rsidP="009F6FA4">
      <w:pPr>
        <w:tabs>
          <w:tab w:val="left" w:pos="284"/>
        </w:tabs>
        <w:jc w:val="both"/>
      </w:pPr>
      <w:r w:rsidRPr="009F6FA4">
        <w:t>Не виявлено.</w:t>
      </w:r>
    </w:p>
    <w:p w14:paraId="0FE056E9" w14:textId="77777777" w:rsidR="009F6FA4" w:rsidRPr="009F6FA4" w:rsidRDefault="009F6FA4" w:rsidP="009F6FA4">
      <w:pPr>
        <w:tabs>
          <w:tab w:val="left" w:pos="284"/>
        </w:tabs>
        <w:jc w:val="both"/>
        <w:rPr>
          <w:b/>
        </w:rPr>
      </w:pPr>
      <w:r w:rsidRPr="009F6FA4">
        <w:rPr>
          <w:b/>
        </w:rPr>
        <w:t>5.4. Побічна дія</w:t>
      </w:r>
    </w:p>
    <w:p w14:paraId="2C72E51D" w14:textId="77777777" w:rsidR="009F6FA4" w:rsidRPr="009F6FA4" w:rsidRDefault="009F6FA4" w:rsidP="009F6FA4">
      <w:pPr>
        <w:tabs>
          <w:tab w:val="left" w:pos="284"/>
        </w:tabs>
        <w:jc w:val="both"/>
      </w:pPr>
      <w:r w:rsidRPr="009F6FA4">
        <w:t>Не відома.</w:t>
      </w:r>
    </w:p>
    <w:p w14:paraId="4ECC536A" w14:textId="77777777" w:rsidR="009F6FA4" w:rsidRPr="009F6FA4" w:rsidRDefault="009F6FA4" w:rsidP="009F6FA4">
      <w:pPr>
        <w:tabs>
          <w:tab w:val="left" w:pos="284"/>
        </w:tabs>
        <w:jc w:val="both"/>
        <w:rPr>
          <w:b/>
        </w:rPr>
      </w:pPr>
      <w:r w:rsidRPr="009F6FA4">
        <w:rPr>
          <w:b/>
        </w:rPr>
        <w:t>5.5. Особливі застереження при використанні</w:t>
      </w:r>
    </w:p>
    <w:p w14:paraId="0FA8E719" w14:textId="77777777" w:rsidR="009F6FA4" w:rsidRPr="009F6FA4" w:rsidRDefault="009F6FA4" w:rsidP="009F6FA4">
      <w:pPr>
        <w:tabs>
          <w:tab w:val="left" w:pos="284"/>
        </w:tabs>
        <w:jc w:val="both"/>
      </w:pPr>
      <w:r w:rsidRPr="009F6FA4">
        <w:t xml:space="preserve">Перед застосуванням вакцину слід довести до кімнатної температури. </w:t>
      </w:r>
    </w:p>
    <w:p w14:paraId="5DB65889" w14:textId="77777777" w:rsidR="009F6FA4" w:rsidRPr="009F6FA4" w:rsidRDefault="009F6FA4" w:rsidP="009F6FA4">
      <w:pPr>
        <w:tabs>
          <w:tab w:val="left" w:pos="284"/>
        </w:tabs>
        <w:jc w:val="both"/>
      </w:pPr>
      <w:r w:rsidRPr="009F6FA4">
        <w:t>Добре струсити флакон з вакциною перед застосуванням.</w:t>
      </w:r>
    </w:p>
    <w:p w14:paraId="376F7149" w14:textId="77777777" w:rsidR="009F6FA4" w:rsidRPr="009F6FA4" w:rsidRDefault="009F6FA4" w:rsidP="009F6FA4">
      <w:pPr>
        <w:tabs>
          <w:tab w:val="left" w:pos="284"/>
        </w:tabs>
        <w:jc w:val="both"/>
      </w:pPr>
      <w:r w:rsidRPr="009F6FA4">
        <w:t>Використати увесь вміст флакону одразу після його відкриття.</w:t>
      </w:r>
    </w:p>
    <w:p w14:paraId="4959DE7A" w14:textId="77777777" w:rsidR="009F6FA4" w:rsidRPr="009F6FA4" w:rsidRDefault="009F6FA4" w:rsidP="009F6FA4">
      <w:pPr>
        <w:tabs>
          <w:tab w:val="left" w:pos="284"/>
        </w:tabs>
        <w:jc w:val="both"/>
      </w:pPr>
      <w:r w:rsidRPr="009F6FA4">
        <w:t>Вакцинують лише клінічно здорових тварин.</w:t>
      </w:r>
    </w:p>
    <w:p w14:paraId="17B8C9CF" w14:textId="77777777" w:rsidR="009F6FA4" w:rsidRPr="009F6FA4" w:rsidRDefault="009F6FA4" w:rsidP="009F6FA4">
      <w:pPr>
        <w:tabs>
          <w:tab w:val="left" w:pos="284"/>
        </w:tabs>
        <w:jc w:val="both"/>
      </w:pPr>
      <w:r w:rsidRPr="009F6FA4">
        <w:t>Під час вакцинації тварини необхідно дотримуватися правил асептики.</w:t>
      </w:r>
    </w:p>
    <w:p w14:paraId="2722DBB9" w14:textId="77777777" w:rsidR="009F6FA4" w:rsidRPr="009F6FA4" w:rsidRDefault="009F6FA4" w:rsidP="009F6FA4">
      <w:pPr>
        <w:tabs>
          <w:tab w:val="left" w:pos="284"/>
        </w:tabs>
        <w:jc w:val="both"/>
        <w:rPr>
          <w:b/>
        </w:rPr>
      </w:pPr>
      <w:r w:rsidRPr="009F6FA4">
        <w:rPr>
          <w:b/>
        </w:rPr>
        <w:t>5.6. Застосування під час несучості</w:t>
      </w:r>
    </w:p>
    <w:p w14:paraId="7F5413A8" w14:textId="77777777" w:rsidR="009F6FA4" w:rsidRPr="009F6FA4" w:rsidRDefault="009F6FA4" w:rsidP="009F6FA4">
      <w:pPr>
        <w:tabs>
          <w:tab w:val="left" w:pos="284"/>
        </w:tabs>
        <w:jc w:val="both"/>
      </w:pPr>
      <w:r w:rsidRPr="009F6FA4">
        <w:t>Не застосовувати протягом періоду несучості.</w:t>
      </w:r>
    </w:p>
    <w:p w14:paraId="578310DC" w14:textId="77777777" w:rsidR="009F6FA4" w:rsidRPr="009F6FA4" w:rsidRDefault="009F6FA4" w:rsidP="009F6FA4">
      <w:pPr>
        <w:tabs>
          <w:tab w:val="left" w:pos="284"/>
        </w:tabs>
        <w:jc w:val="both"/>
        <w:rPr>
          <w:rStyle w:val="hps"/>
          <w:b/>
        </w:rPr>
      </w:pPr>
      <w:r w:rsidRPr="009F6FA4">
        <w:rPr>
          <w:b/>
        </w:rPr>
        <w:t>5.7. Взаємодія з іншими засобами та інші форми взаємодії</w:t>
      </w:r>
    </w:p>
    <w:p w14:paraId="5A2AB970" w14:textId="77777777" w:rsidR="009F6FA4" w:rsidRPr="009F6FA4" w:rsidRDefault="009F6FA4" w:rsidP="009F6FA4">
      <w:pPr>
        <w:tabs>
          <w:tab w:val="left" w:pos="284"/>
        </w:tabs>
        <w:jc w:val="both"/>
        <w:rPr>
          <w:color w:val="FF0000"/>
        </w:rPr>
      </w:pPr>
      <w:r w:rsidRPr="009F6FA4">
        <w:rPr>
          <w:rStyle w:val="hps"/>
        </w:rPr>
        <w:t>Не відомі.</w:t>
      </w:r>
    </w:p>
    <w:p w14:paraId="3418DEA5" w14:textId="77777777" w:rsidR="009F6FA4" w:rsidRDefault="009F6FA4" w:rsidP="009F6FA4">
      <w:pPr>
        <w:jc w:val="both"/>
      </w:pPr>
      <w:r w:rsidRPr="009F6FA4">
        <w:rPr>
          <w:b/>
        </w:rPr>
        <w:t>5.8. Дози і способи введення тваринам різного віку</w:t>
      </w:r>
      <w:r w:rsidRPr="009F6FA4">
        <w:t xml:space="preserve"> </w:t>
      </w:r>
    </w:p>
    <w:p w14:paraId="39223B6E" w14:textId="77777777" w:rsidR="009F6FA4" w:rsidRPr="009F6FA4" w:rsidRDefault="009F6FA4" w:rsidP="009F6FA4">
      <w:pPr>
        <w:jc w:val="both"/>
      </w:pPr>
      <w:r w:rsidRPr="009F6FA4">
        <w:t xml:space="preserve">Вакцина застосовується підшкірно або внутрішньом’язово у дозі 0,5 мл на одну голову птиці у віці 12-13 тижнів від народження та повторно у віці 20-21 </w:t>
      </w:r>
      <w:r w:rsidR="000E672F" w:rsidRPr="009F6FA4">
        <w:t>тиж</w:t>
      </w:r>
      <w:r w:rsidR="000E672F">
        <w:t>день</w:t>
      </w:r>
      <w:r w:rsidR="000E672F" w:rsidRPr="009F6FA4">
        <w:t xml:space="preserve"> </w:t>
      </w:r>
      <w:r w:rsidRPr="009F6FA4">
        <w:t>від народження.</w:t>
      </w:r>
    </w:p>
    <w:p w14:paraId="714EBC7B" w14:textId="77777777" w:rsidR="009F6FA4" w:rsidRPr="009F6FA4" w:rsidRDefault="009F6FA4" w:rsidP="009F6FA4">
      <w:pPr>
        <w:jc w:val="both"/>
      </w:pPr>
      <w:r w:rsidRPr="009F6FA4">
        <w:lastRenderedPageBreak/>
        <w:t>Первинну вакцинацію рекомендовано проводити живою вакциною проти реовірусної інфекції та інфекційної бурсальної хвороби птиці, щонайменше за 4 тижні до застосування вакцини Бурса Гард  Рео.</w:t>
      </w:r>
    </w:p>
    <w:p w14:paraId="74A1AC7F" w14:textId="77777777" w:rsidR="009F6FA4" w:rsidRPr="009F6FA4" w:rsidRDefault="009F6FA4" w:rsidP="009F6FA4">
      <w:pPr>
        <w:tabs>
          <w:tab w:val="left" w:pos="284"/>
        </w:tabs>
        <w:jc w:val="both"/>
        <w:rPr>
          <w:b/>
        </w:rPr>
      </w:pPr>
      <w:r w:rsidRPr="009F6FA4">
        <w:rPr>
          <w:b/>
        </w:rPr>
        <w:t>5.9. Передозування (симптоми, невідкладні заходи, антидоти)</w:t>
      </w:r>
    </w:p>
    <w:p w14:paraId="7963810A" w14:textId="77777777" w:rsidR="009F6FA4" w:rsidRPr="009F6FA4" w:rsidRDefault="009F6FA4" w:rsidP="009F6FA4">
      <w:pPr>
        <w:tabs>
          <w:tab w:val="left" w:pos="284"/>
        </w:tabs>
        <w:jc w:val="both"/>
        <w:rPr>
          <w:lang w:eastAsia="fr-FR"/>
        </w:rPr>
      </w:pPr>
      <w:r w:rsidRPr="009F6FA4">
        <w:rPr>
          <w:lang w:eastAsia="fr-FR"/>
        </w:rPr>
        <w:t xml:space="preserve">Не відмічено. </w:t>
      </w:r>
    </w:p>
    <w:p w14:paraId="795A550A" w14:textId="77777777" w:rsidR="009F6FA4" w:rsidRPr="009F6FA4" w:rsidRDefault="009F6FA4" w:rsidP="009F6FA4">
      <w:pPr>
        <w:tabs>
          <w:tab w:val="left" w:pos="284"/>
        </w:tabs>
        <w:jc w:val="both"/>
        <w:rPr>
          <w:b/>
        </w:rPr>
      </w:pPr>
      <w:r w:rsidRPr="009F6FA4">
        <w:rPr>
          <w:b/>
        </w:rPr>
        <w:t>5.10. Спеціальні застереження</w:t>
      </w:r>
    </w:p>
    <w:p w14:paraId="197D5CF1" w14:textId="77777777" w:rsidR="009F6FA4" w:rsidRPr="009F6FA4" w:rsidRDefault="009F6FA4" w:rsidP="009F6FA4">
      <w:pPr>
        <w:tabs>
          <w:tab w:val="left" w:pos="284"/>
        </w:tabs>
        <w:jc w:val="both"/>
      </w:pPr>
      <w:r w:rsidRPr="009F6FA4">
        <w:t>Не вакцинувати птицю за 42 доби до забою.</w:t>
      </w:r>
    </w:p>
    <w:p w14:paraId="79634A36" w14:textId="77777777" w:rsidR="009F6FA4" w:rsidRPr="009F6FA4" w:rsidRDefault="009F6FA4" w:rsidP="009F6FA4">
      <w:pPr>
        <w:tabs>
          <w:tab w:val="left" w:pos="284"/>
        </w:tabs>
        <w:jc w:val="both"/>
        <w:rPr>
          <w:b/>
        </w:rPr>
      </w:pPr>
      <w:r w:rsidRPr="009F6FA4">
        <w:rPr>
          <w:b/>
        </w:rPr>
        <w:t>5.11. Період виведення (каренції)</w:t>
      </w:r>
    </w:p>
    <w:p w14:paraId="7122F073" w14:textId="77777777" w:rsidR="009F6FA4" w:rsidRPr="009F6FA4" w:rsidRDefault="009F6FA4" w:rsidP="009F6FA4">
      <w:pPr>
        <w:tabs>
          <w:tab w:val="left" w:pos="284"/>
          <w:tab w:val="left" w:pos="2205"/>
        </w:tabs>
        <w:jc w:val="both"/>
      </w:pPr>
      <w:r w:rsidRPr="009F6FA4">
        <w:t>42 доби.</w:t>
      </w:r>
      <w:r w:rsidRPr="009F6FA4">
        <w:tab/>
      </w:r>
    </w:p>
    <w:p w14:paraId="646F6F46" w14:textId="77777777" w:rsidR="009F6FA4" w:rsidRPr="009F6FA4" w:rsidRDefault="009F6FA4" w:rsidP="009F6FA4">
      <w:pPr>
        <w:tabs>
          <w:tab w:val="left" w:pos="284"/>
        </w:tabs>
        <w:jc w:val="both"/>
        <w:rPr>
          <w:b/>
        </w:rPr>
      </w:pPr>
      <w:r w:rsidRPr="009F6FA4">
        <w:rPr>
          <w:b/>
        </w:rPr>
        <w:t>5.12. Спеціальні застереження для осіб і обслуговуючого персоналу, котрі вводять засоби захисту птиці</w:t>
      </w:r>
    </w:p>
    <w:p w14:paraId="220CC83E" w14:textId="77777777" w:rsidR="009F6FA4" w:rsidRPr="009F6FA4" w:rsidRDefault="009F6FA4" w:rsidP="009F6FA4">
      <w:pPr>
        <w:tabs>
          <w:tab w:val="left" w:pos="142"/>
          <w:tab w:val="left" w:pos="284"/>
        </w:tabs>
        <w:jc w:val="both"/>
      </w:pPr>
      <w:r w:rsidRPr="009F6FA4">
        <w:t>Під час вакцинації дотримуються загальних правил асептики та антисептики.</w:t>
      </w:r>
    </w:p>
    <w:p w14:paraId="5F6AB702" w14:textId="77777777" w:rsidR="009F6FA4" w:rsidRPr="009F6FA4" w:rsidRDefault="009F6FA4" w:rsidP="009F6FA4">
      <w:pPr>
        <w:tabs>
          <w:tab w:val="left" w:pos="142"/>
          <w:tab w:val="left" w:pos="284"/>
        </w:tabs>
        <w:jc w:val="both"/>
      </w:pPr>
      <w:r w:rsidRPr="009F6FA4">
        <w:t>У разі випадкової самоін’єкції необхідно терміново звернутись за медичною допомогою та попередити лікаря , що у складі вакцини міститься масляний наповнювач.</w:t>
      </w:r>
    </w:p>
    <w:p w14:paraId="1BFBA251" w14:textId="77777777" w:rsidR="009F6FA4" w:rsidRPr="009F6FA4" w:rsidRDefault="009F6FA4" w:rsidP="009F6FA4">
      <w:pPr>
        <w:tabs>
          <w:tab w:val="left" w:pos="284"/>
        </w:tabs>
        <w:jc w:val="both"/>
        <w:rPr>
          <w:i/>
        </w:rPr>
      </w:pPr>
      <w:r w:rsidRPr="009F6FA4">
        <w:rPr>
          <w:b/>
        </w:rPr>
        <w:t>6. Фармацевтичні особливості</w:t>
      </w:r>
    </w:p>
    <w:p w14:paraId="1F8EC80F" w14:textId="77777777" w:rsidR="009F6FA4" w:rsidRPr="009F6FA4" w:rsidRDefault="009F6FA4" w:rsidP="009F6FA4">
      <w:pPr>
        <w:tabs>
          <w:tab w:val="left" w:pos="284"/>
        </w:tabs>
        <w:jc w:val="both"/>
        <w:rPr>
          <w:b/>
        </w:rPr>
      </w:pPr>
      <w:r w:rsidRPr="009F6FA4">
        <w:rPr>
          <w:b/>
        </w:rPr>
        <w:t>6.1. Основні форми несумісності</w:t>
      </w:r>
    </w:p>
    <w:p w14:paraId="439D97A1" w14:textId="77777777" w:rsidR="009F6FA4" w:rsidRPr="009F6FA4" w:rsidRDefault="009F6FA4" w:rsidP="009F6FA4">
      <w:pPr>
        <w:pStyle w:val="Style7"/>
        <w:widowControl/>
        <w:tabs>
          <w:tab w:val="left" w:pos="284"/>
        </w:tabs>
        <w:spacing w:line="240" w:lineRule="auto"/>
        <w:rPr>
          <w:rFonts w:ascii="Times New Roman" w:hAnsi="Times New Roman"/>
          <w:lang w:val="uk-UA"/>
        </w:rPr>
      </w:pPr>
      <w:r w:rsidRPr="009F6FA4">
        <w:rPr>
          <w:rStyle w:val="FontStyle12"/>
          <w:sz w:val="24"/>
          <w:szCs w:val="24"/>
          <w:lang w:val="uk-UA" w:eastAsia="en-US"/>
        </w:rPr>
        <w:t xml:space="preserve">Невідомі. </w:t>
      </w:r>
    </w:p>
    <w:p w14:paraId="0FCECD77" w14:textId="77777777" w:rsidR="009F6FA4" w:rsidRPr="009F6FA4" w:rsidRDefault="009F6FA4" w:rsidP="009F6FA4">
      <w:pPr>
        <w:pStyle w:val="Style7"/>
        <w:widowControl/>
        <w:tabs>
          <w:tab w:val="left" w:pos="284"/>
        </w:tabs>
        <w:spacing w:line="240" w:lineRule="auto"/>
        <w:rPr>
          <w:rFonts w:ascii="Times New Roman" w:hAnsi="Times New Roman"/>
          <w:b/>
          <w:lang w:val="uk-UA"/>
        </w:rPr>
      </w:pPr>
      <w:r w:rsidRPr="009F6FA4">
        <w:rPr>
          <w:rFonts w:ascii="Times New Roman" w:hAnsi="Times New Roman"/>
          <w:b/>
          <w:lang w:val="uk-UA"/>
        </w:rPr>
        <w:t>6.2. Термін придатності</w:t>
      </w:r>
    </w:p>
    <w:p w14:paraId="0BACF6C5" w14:textId="77777777" w:rsidR="009F6FA4" w:rsidRPr="009F6FA4" w:rsidRDefault="009F6FA4" w:rsidP="009F6FA4">
      <w:pPr>
        <w:tabs>
          <w:tab w:val="left" w:pos="284"/>
        </w:tabs>
        <w:jc w:val="both"/>
      </w:pPr>
      <w:bookmarkStart w:id="3" w:name="OLE_LINK106"/>
      <w:bookmarkStart w:id="4" w:name="OLE_LINK107"/>
      <w:r w:rsidRPr="009F6FA4">
        <w:t xml:space="preserve">Термін придатності становить 28 місяців. </w:t>
      </w:r>
    </w:p>
    <w:p w14:paraId="0583A150" w14:textId="77777777" w:rsidR="009F6FA4" w:rsidRPr="009F6FA4" w:rsidRDefault="009F6FA4" w:rsidP="009F6FA4">
      <w:pPr>
        <w:tabs>
          <w:tab w:val="left" w:pos="284"/>
        </w:tabs>
        <w:jc w:val="both"/>
      </w:pPr>
      <w:r w:rsidRPr="009F6FA4">
        <w:t>Термін придатності після першого відкриття: використати відразу.</w:t>
      </w:r>
    </w:p>
    <w:bookmarkEnd w:id="3"/>
    <w:bookmarkEnd w:id="4"/>
    <w:p w14:paraId="25D020F4" w14:textId="77777777" w:rsidR="009F6FA4" w:rsidRPr="009F6FA4" w:rsidRDefault="009F6FA4" w:rsidP="009F6FA4">
      <w:pPr>
        <w:tabs>
          <w:tab w:val="left" w:pos="284"/>
        </w:tabs>
        <w:jc w:val="both"/>
        <w:rPr>
          <w:b/>
        </w:rPr>
      </w:pPr>
      <w:r w:rsidRPr="009F6FA4">
        <w:rPr>
          <w:b/>
        </w:rPr>
        <w:t>6.3. Особливі застереження щодо зберігання</w:t>
      </w:r>
    </w:p>
    <w:p w14:paraId="3C8CEE88" w14:textId="76DF64A7" w:rsidR="009F6FA4" w:rsidRPr="009F6FA4" w:rsidRDefault="009F6FA4" w:rsidP="009F6FA4">
      <w:pPr>
        <w:tabs>
          <w:tab w:val="left" w:pos="284"/>
        </w:tabs>
        <w:jc w:val="both"/>
        <w:rPr>
          <w:bCs/>
        </w:rPr>
      </w:pPr>
      <w:bookmarkStart w:id="5" w:name="OLE_LINK108"/>
      <w:bookmarkStart w:id="6" w:name="OLE_LINK109"/>
      <w:r w:rsidRPr="009F6FA4">
        <w:t xml:space="preserve">Зберігати та транспортувати при температурі від 2 до </w:t>
      </w:r>
      <w:r w:rsidR="002D6F73" w:rsidRPr="0047696E">
        <w:rPr>
          <w:lang w:val="ru-RU"/>
        </w:rPr>
        <w:t>8</w:t>
      </w:r>
      <w:r w:rsidRPr="009F6FA4">
        <w:t xml:space="preserve"> ºС у захищеному від світла місці. Не заморожувати.</w:t>
      </w:r>
    </w:p>
    <w:bookmarkEnd w:id="5"/>
    <w:bookmarkEnd w:id="6"/>
    <w:p w14:paraId="05A7B299" w14:textId="77777777" w:rsidR="009F6FA4" w:rsidRPr="009F6FA4" w:rsidRDefault="009F6FA4" w:rsidP="009F6FA4">
      <w:pPr>
        <w:tabs>
          <w:tab w:val="left" w:pos="284"/>
        </w:tabs>
        <w:jc w:val="both"/>
        <w:rPr>
          <w:b/>
        </w:rPr>
      </w:pPr>
      <w:r w:rsidRPr="009F6FA4">
        <w:rPr>
          <w:b/>
        </w:rPr>
        <w:t>6.4. Природа і склад контейнера первинного упакування</w:t>
      </w:r>
    </w:p>
    <w:p w14:paraId="0D7B4D3C" w14:textId="77777777" w:rsidR="009F6FA4" w:rsidRPr="009F6FA4" w:rsidRDefault="009F6FA4" w:rsidP="009F6FA4">
      <w:pPr>
        <w:tabs>
          <w:tab w:val="left" w:pos="142"/>
          <w:tab w:val="left" w:pos="284"/>
        </w:tabs>
        <w:jc w:val="both"/>
        <w:rPr>
          <w:rStyle w:val="FontStyle12"/>
          <w:sz w:val="24"/>
          <w:szCs w:val="24"/>
          <w:lang w:eastAsia="en-US"/>
        </w:rPr>
      </w:pPr>
      <w:r w:rsidRPr="009F6FA4">
        <w:rPr>
          <w:rStyle w:val="FontStyle12"/>
          <w:sz w:val="24"/>
          <w:szCs w:val="24"/>
          <w:lang w:eastAsia="en-US"/>
        </w:rPr>
        <w:t>Флакон (500 мл) з високо-щільного поліетилену по 1000 доз вакцини.</w:t>
      </w:r>
    </w:p>
    <w:p w14:paraId="4E4EAC5F" w14:textId="77777777" w:rsidR="009F6FA4" w:rsidRPr="009F6FA4" w:rsidRDefault="009F6FA4" w:rsidP="009F6FA4">
      <w:pPr>
        <w:tabs>
          <w:tab w:val="left" w:pos="142"/>
          <w:tab w:val="left" w:pos="284"/>
        </w:tabs>
        <w:jc w:val="both"/>
        <w:rPr>
          <w:rStyle w:val="FontStyle12"/>
          <w:sz w:val="24"/>
          <w:szCs w:val="24"/>
          <w:lang w:eastAsia="en-US"/>
        </w:rPr>
      </w:pPr>
      <w:r w:rsidRPr="009F6FA4">
        <w:rPr>
          <w:rStyle w:val="FontStyle12"/>
          <w:sz w:val="24"/>
          <w:szCs w:val="24"/>
          <w:lang w:eastAsia="en-US"/>
        </w:rPr>
        <w:t xml:space="preserve">Коробка містить 10 флаконів по 1000 доз вакцини. </w:t>
      </w:r>
    </w:p>
    <w:p w14:paraId="3B378D7B" w14:textId="77777777" w:rsidR="009F6FA4" w:rsidRPr="009F6FA4" w:rsidRDefault="009F6FA4" w:rsidP="009F6FA4">
      <w:pPr>
        <w:tabs>
          <w:tab w:val="left" w:pos="142"/>
          <w:tab w:val="left" w:pos="284"/>
        </w:tabs>
        <w:jc w:val="both"/>
        <w:rPr>
          <w:b/>
        </w:rPr>
      </w:pPr>
      <w:r w:rsidRPr="009F6FA4">
        <w:rPr>
          <w:b/>
        </w:rPr>
        <w:t>6.5. Назва та місцезнаходження власника реєстраційного посвідчення</w:t>
      </w:r>
    </w:p>
    <w:p w14:paraId="5D3B80C6" w14:textId="77777777" w:rsidR="00ED4FC9" w:rsidRDefault="00B83100" w:rsidP="009F6FA4">
      <w:pPr>
        <w:tabs>
          <w:tab w:val="left" w:pos="142"/>
          <w:tab w:val="left" w:pos="284"/>
        </w:tabs>
        <w:jc w:val="both"/>
      </w:pPr>
      <w:r w:rsidRPr="00B83100">
        <w:t>Берінгер Інгельхайм Ветмедіка ГмбХ, 55216 м. Інгельхайм-на-Рейні, Німеччина.</w:t>
      </w:r>
    </w:p>
    <w:p w14:paraId="4EC804A5" w14:textId="77777777" w:rsidR="009F6FA4" w:rsidRPr="009F6FA4" w:rsidRDefault="009F6FA4" w:rsidP="009F6FA4">
      <w:pPr>
        <w:tabs>
          <w:tab w:val="left" w:pos="142"/>
          <w:tab w:val="left" w:pos="284"/>
        </w:tabs>
        <w:jc w:val="both"/>
        <w:rPr>
          <w:b/>
        </w:rPr>
      </w:pPr>
      <w:r w:rsidRPr="009F6FA4">
        <w:rPr>
          <w:b/>
        </w:rPr>
        <w:t xml:space="preserve">6.6. Назва та місцезнаходження виробника </w:t>
      </w:r>
    </w:p>
    <w:p w14:paraId="6A670A2D" w14:textId="77777777" w:rsidR="00EB6781" w:rsidRDefault="00B83100" w:rsidP="009F6FA4">
      <w:pPr>
        <w:tabs>
          <w:tab w:val="left" w:pos="284"/>
        </w:tabs>
        <w:jc w:val="both"/>
      </w:pPr>
      <w:r w:rsidRPr="00B83100">
        <w:t xml:space="preserve">Берінгер Інгельхайм Енімал Хелс Ю.Ес.Ей Інк., 1168 Аеропорт Парквей, Гейнсвіль, Джорджія, 30501, США. </w:t>
      </w:r>
    </w:p>
    <w:p w14:paraId="0DFE5131" w14:textId="77777777" w:rsidR="009F6FA4" w:rsidRPr="009F6FA4" w:rsidRDefault="009F6FA4" w:rsidP="009F6FA4">
      <w:pPr>
        <w:tabs>
          <w:tab w:val="left" w:pos="284"/>
        </w:tabs>
        <w:jc w:val="both"/>
      </w:pPr>
      <w:r w:rsidRPr="009F6FA4">
        <w:rPr>
          <w:b/>
        </w:rPr>
        <w:t>6.7. Особливі заходи безпеки при поводженні з невикористаним засобом</w:t>
      </w:r>
      <w:r w:rsidRPr="009F6FA4">
        <w:t xml:space="preserve"> </w:t>
      </w:r>
    </w:p>
    <w:p w14:paraId="707D8D67" w14:textId="77777777" w:rsidR="009F6FA4" w:rsidRPr="009F6FA4" w:rsidRDefault="009F6FA4" w:rsidP="009F6FA4">
      <w:pPr>
        <w:tabs>
          <w:tab w:val="left" w:pos="284"/>
        </w:tabs>
        <w:jc w:val="both"/>
      </w:pPr>
      <w:r w:rsidRPr="009F6FA4">
        <w:t>Знищити флакон та залишки вакцини відповідно до вимог місцевого законодавства.</w:t>
      </w:r>
    </w:p>
    <w:p w14:paraId="1BA6A8FF" w14:textId="77777777" w:rsidR="009F6FA4" w:rsidRPr="009F6FA4" w:rsidRDefault="009F6FA4" w:rsidP="009F6FA4">
      <w:pPr>
        <w:tabs>
          <w:tab w:val="left" w:pos="284"/>
        </w:tabs>
        <w:jc w:val="both"/>
        <w:rPr>
          <w:b/>
        </w:rPr>
      </w:pPr>
      <w:r w:rsidRPr="009F6FA4">
        <w:rPr>
          <w:b/>
        </w:rPr>
        <w:t>6.8. Правила відпуску</w:t>
      </w:r>
    </w:p>
    <w:p w14:paraId="63AE0CC9" w14:textId="77777777" w:rsidR="009F6FA4" w:rsidRPr="009F6FA4" w:rsidRDefault="009F6FA4" w:rsidP="009F6FA4">
      <w:pPr>
        <w:jc w:val="both"/>
      </w:pPr>
      <w:r w:rsidRPr="009F6FA4">
        <w:t>Без рецепт</w:t>
      </w:r>
      <w:r w:rsidR="007807E9">
        <w:t>а</w:t>
      </w:r>
      <w:r w:rsidRPr="009F6FA4">
        <w:t>.</w:t>
      </w:r>
    </w:p>
    <w:p w14:paraId="272D662B" w14:textId="77777777" w:rsidR="009F6FA4" w:rsidRPr="009F6FA4" w:rsidRDefault="009F6FA4" w:rsidP="009F6FA4">
      <w:pPr>
        <w:tabs>
          <w:tab w:val="left" w:pos="284"/>
        </w:tabs>
        <w:jc w:val="both"/>
        <w:rPr>
          <w:b/>
        </w:rPr>
      </w:pPr>
      <w:r w:rsidRPr="009F6FA4">
        <w:rPr>
          <w:b/>
        </w:rPr>
        <w:t>7. Додаткова інформація</w:t>
      </w:r>
    </w:p>
    <w:p w14:paraId="13B54FB9" w14:textId="77777777" w:rsidR="009F6FA4" w:rsidRPr="009F6FA4" w:rsidRDefault="009F6FA4" w:rsidP="009F6FA4">
      <w:pPr>
        <w:tabs>
          <w:tab w:val="left" w:pos="284"/>
        </w:tabs>
        <w:jc w:val="both"/>
        <w:rPr>
          <w:b/>
        </w:rPr>
      </w:pPr>
      <w:r w:rsidRPr="009F6FA4">
        <w:t xml:space="preserve">Якщо препарат не відповідає вимогам листівки-вкладки або виникли ускладнення, застосування цієї серії негайно припиняють і повідомляють Державний науково-контрольний інститут біотехнології і штамів мікроорганізмів (ДНКІБШМ) та постачальника (виробника). Одночасно з посланцем у ДНКІБШМ направляють, відповідно до “Вказівки про порядок пред’явлення рекламацій на біологічні препарати, що призначені для застосування у ветеринарній медицині” від 03.06.98 № 2 три нерозкриті флакони цієї серії препарату за адресою: </w:t>
      </w:r>
      <w:smartTag w:uri="urn:schemas-microsoft-com:office:smarttags" w:element="metricconverter">
        <w:smartTagPr>
          <w:attr w:name="ProductID" w:val="03151, м"/>
        </w:smartTagPr>
        <w:r w:rsidRPr="009F6FA4">
          <w:t>03151, м</w:t>
        </w:r>
      </w:smartTag>
      <w:r w:rsidRPr="009F6FA4">
        <w:t>. Київ, вул. Донецька, 30, ДНКІБШМ.</w:t>
      </w:r>
    </w:p>
    <w:p w14:paraId="2DC0265A" w14:textId="77777777" w:rsidR="009F6FA4" w:rsidRPr="009F6FA4" w:rsidRDefault="009F6FA4" w:rsidP="009F6FA4">
      <w:pPr>
        <w:tabs>
          <w:tab w:val="left" w:pos="284"/>
        </w:tabs>
        <w:jc w:val="both"/>
        <w:rPr>
          <w:color w:val="FF0000"/>
        </w:rPr>
      </w:pPr>
    </w:p>
    <w:p w14:paraId="3F8C22BD" w14:textId="77777777" w:rsidR="0006388A" w:rsidRPr="009F6FA4" w:rsidRDefault="0006388A" w:rsidP="009F6FA4">
      <w:pPr>
        <w:jc w:val="both"/>
      </w:pPr>
    </w:p>
    <w:sectPr w:rsidR="0006388A" w:rsidRPr="009F6FA4" w:rsidSect="00EB6781">
      <w:headerReference w:type="even" r:id="rId6"/>
      <w:headerReference w:type="default" r:id="rId7"/>
      <w:footerReference w:type="even" r:id="rId8"/>
      <w:footerReference w:type="default" r:id="rId9"/>
      <w:headerReference w:type="first" r:id="rId10"/>
      <w:footerReference w:type="first" r:id="rId11"/>
      <w:pgSz w:w="11906" w:h="16838"/>
      <w:pgMar w:top="567" w:right="45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87F9" w14:textId="77777777" w:rsidR="001259BC" w:rsidRDefault="001259BC">
      <w:r>
        <w:separator/>
      </w:r>
    </w:p>
  </w:endnote>
  <w:endnote w:type="continuationSeparator" w:id="0">
    <w:p w14:paraId="0260F4BC" w14:textId="77777777" w:rsidR="001259BC" w:rsidRDefault="0012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4CC5" w14:textId="77777777" w:rsidR="009F6FA4" w:rsidRDefault="009F6FA4" w:rsidP="00F14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9BE67F" w14:textId="77777777" w:rsidR="009F6FA4" w:rsidRDefault="009F6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521B" w14:textId="77777777" w:rsidR="009F6FA4" w:rsidRDefault="009F6FA4" w:rsidP="00F14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3FEA">
      <w:rPr>
        <w:rStyle w:val="PageNumber"/>
        <w:noProof/>
      </w:rPr>
      <w:t>2</w:t>
    </w:r>
    <w:r>
      <w:rPr>
        <w:rStyle w:val="PageNumber"/>
      </w:rPr>
      <w:fldChar w:fldCharType="end"/>
    </w:r>
  </w:p>
  <w:p w14:paraId="5531DBEE" w14:textId="77777777" w:rsidR="009F6FA4" w:rsidRDefault="009F6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A119" w14:textId="77777777" w:rsidR="00DC5785" w:rsidRDefault="00DC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708B" w14:textId="77777777" w:rsidR="001259BC" w:rsidRDefault="001259BC">
      <w:r>
        <w:separator/>
      </w:r>
    </w:p>
  </w:footnote>
  <w:footnote w:type="continuationSeparator" w:id="0">
    <w:p w14:paraId="4A38757C" w14:textId="77777777" w:rsidR="001259BC" w:rsidRDefault="0012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7981" w14:textId="77777777" w:rsidR="00DC5785" w:rsidRDefault="00DC5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6886" w14:textId="77777777" w:rsidR="008864D9" w:rsidRPr="009F6FA4" w:rsidRDefault="008864D9" w:rsidP="008864D9">
    <w:pPr>
      <w:ind w:left="6720"/>
    </w:pPr>
    <w:r w:rsidRPr="009F6FA4">
      <w:t>Продовження додатку 1</w:t>
    </w:r>
  </w:p>
  <w:p w14:paraId="3904952D" w14:textId="77777777" w:rsidR="008864D9" w:rsidRPr="009F6FA4" w:rsidRDefault="008864D9" w:rsidP="008864D9">
    <w:pPr>
      <w:ind w:left="6720"/>
    </w:pPr>
    <w:r w:rsidRPr="009F6FA4">
      <w:t>до реєстраційного посвідчення</w:t>
    </w:r>
  </w:p>
  <w:p w14:paraId="7FDBB789" w14:textId="77777777" w:rsidR="008864D9" w:rsidRPr="009F6FA4" w:rsidRDefault="008864D9" w:rsidP="008864D9">
    <w:pPr>
      <w:ind w:left="6720"/>
    </w:pPr>
    <w:r w:rsidRPr="009F6FA4">
      <w:t xml:space="preserve">№ </w:t>
    </w:r>
    <w:r>
      <w:t>ВА-00790-02-15</w:t>
    </w:r>
  </w:p>
  <w:p w14:paraId="2B1CFAF5" w14:textId="706D3397" w:rsidR="008864D9" w:rsidRPr="009F6FA4" w:rsidRDefault="008864D9" w:rsidP="008864D9">
    <w:pPr>
      <w:tabs>
        <w:tab w:val="left" w:pos="284"/>
      </w:tabs>
      <w:ind w:left="6720"/>
      <w:rPr>
        <w:b/>
      </w:rPr>
    </w:pPr>
    <w:r w:rsidRPr="009F6FA4">
      <w:t>від</w:t>
    </w:r>
    <w:r w:rsidRPr="009F6FA4">
      <w:rPr>
        <w:b/>
      </w:rPr>
      <w:t xml:space="preserve"> </w:t>
    </w:r>
  </w:p>
  <w:p w14:paraId="11D449F8" w14:textId="77777777" w:rsidR="008864D9" w:rsidRDefault="00886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3955" w14:textId="77777777" w:rsidR="008864D9" w:rsidRPr="009F6FA4" w:rsidRDefault="008864D9" w:rsidP="008864D9">
    <w:pPr>
      <w:ind w:left="6720"/>
    </w:pPr>
    <w:r w:rsidRPr="009F6FA4">
      <w:t>Додаток 1</w:t>
    </w:r>
  </w:p>
  <w:p w14:paraId="58EB559B" w14:textId="77777777" w:rsidR="008864D9" w:rsidRPr="009F6FA4" w:rsidRDefault="008864D9" w:rsidP="008864D9">
    <w:pPr>
      <w:ind w:left="6720"/>
    </w:pPr>
    <w:r w:rsidRPr="009F6FA4">
      <w:t>до реєстраційного посвідчення</w:t>
    </w:r>
  </w:p>
  <w:p w14:paraId="57401272" w14:textId="77777777" w:rsidR="008864D9" w:rsidRPr="009F6FA4" w:rsidRDefault="008864D9" w:rsidP="008864D9">
    <w:pPr>
      <w:ind w:left="6720"/>
    </w:pPr>
    <w:r w:rsidRPr="009F6FA4">
      <w:t xml:space="preserve">№ </w:t>
    </w:r>
    <w:r>
      <w:t>ВА-00790-02-15</w:t>
    </w:r>
  </w:p>
  <w:p w14:paraId="501071E9" w14:textId="0F774EF2" w:rsidR="008864D9" w:rsidRPr="00623FEA" w:rsidRDefault="008864D9" w:rsidP="008864D9">
    <w:pPr>
      <w:ind w:left="6720"/>
      <w:rPr>
        <w:lang w:val="en-US"/>
      </w:rPr>
    </w:pPr>
    <w:r w:rsidRPr="009F6FA4">
      <w:t xml:space="preserve">від </w:t>
    </w:r>
  </w:p>
  <w:p w14:paraId="21EED0F6" w14:textId="77777777" w:rsidR="008864D9" w:rsidRDefault="00886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A4"/>
    <w:rsid w:val="0006388A"/>
    <w:rsid w:val="00072910"/>
    <w:rsid w:val="000C7C38"/>
    <w:rsid w:val="000C7FAE"/>
    <w:rsid w:val="000E672F"/>
    <w:rsid w:val="001259BC"/>
    <w:rsid w:val="001B1A93"/>
    <w:rsid w:val="00230560"/>
    <w:rsid w:val="00243C5D"/>
    <w:rsid w:val="0026482C"/>
    <w:rsid w:val="002D6F73"/>
    <w:rsid w:val="00416A16"/>
    <w:rsid w:val="0047696E"/>
    <w:rsid w:val="004E4081"/>
    <w:rsid w:val="0059009A"/>
    <w:rsid w:val="0059207C"/>
    <w:rsid w:val="00615C20"/>
    <w:rsid w:val="00623FEA"/>
    <w:rsid w:val="006837F3"/>
    <w:rsid w:val="006B32C9"/>
    <w:rsid w:val="006D728C"/>
    <w:rsid w:val="007807E9"/>
    <w:rsid w:val="008127C6"/>
    <w:rsid w:val="00871828"/>
    <w:rsid w:val="008864D9"/>
    <w:rsid w:val="00897A50"/>
    <w:rsid w:val="008F6D74"/>
    <w:rsid w:val="009731DD"/>
    <w:rsid w:val="009F6FA4"/>
    <w:rsid w:val="00A34D59"/>
    <w:rsid w:val="00A7548F"/>
    <w:rsid w:val="00B00660"/>
    <w:rsid w:val="00B4057E"/>
    <w:rsid w:val="00B4153B"/>
    <w:rsid w:val="00B83100"/>
    <w:rsid w:val="00BA17C1"/>
    <w:rsid w:val="00BA2B2F"/>
    <w:rsid w:val="00BB5069"/>
    <w:rsid w:val="00BD036A"/>
    <w:rsid w:val="00C873F9"/>
    <w:rsid w:val="00C94B41"/>
    <w:rsid w:val="00CE0CAC"/>
    <w:rsid w:val="00DC5785"/>
    <w:rsid w:val="00DD5390"/>
    <w:rsid w:val="00E33E2D"/>
    <w:rsid w:val="00EB6781"/>
    <w:rsid w:val="00ED24AE"/>
    <w:rsid w:val="00ED4FC9"/>
    <w:rsid w:val="00EE1950"/>
    <w:rsid w:val="00F14378"/>
    <w:rsid w:val="00F149AE"/>
    <w:rsid w:val="00F60708"/>
    <w:rsid w:val="00F81AB0"/>
    <w:rsid w:val="00F93BAD"/>
    <w:rsid w:val="00FE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0556D"/>
  <w15:chartTrackingRefBased/>
  <w15:docId w15:val="{9B9DD497-6B5B-4CD2-A4E4-252060A9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A4"/>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6FA4"/>
    <w:pPr>
      <w:tabs>
        <w:tab w:val="center" w:pos="4677"/>
        <w:tab w:val="right" w:pos="9355"/>
      </w:tabs>
    </w:pPr>
  </w:style>
  <w:style w:type="character" w:styleId="PageNumber">
    <w:name w:val="page number"/>
    <w:basedOn w:val="DefaultParagraphFont"/>
    <w:rsid w:val="009F6FA4"/>
  </w:style>
  <w:style w:type="character" w:customStyle="1" w:styleId="FontStyle15">
    <w:name w:val="Font Style15"/>
    <w:rsid w:val="009F6FA4"/>
    <w:rPr>
      <w:rFonts w:ascii="Times New Roman" w:hAnsi="Times New Roman" w:cs="Times New Roman"/>
      <w:sz w:val="20"/>
      <w:szCs w:val="20"/>
    </w:rPr>
  </w:style>
  <w:style w:type="paragraph" w:customStyle="1" w:styleId="Style8">
    <w:name w:val="Style8"/>
    <w:basedOn w:val="Normal"/>
    <w:rsid w:val="009F6FA4"/>
    <w:pPr>
      <w:widowControl w:val="0"/>
      <w:autoSpaceDE w:val="0"/>
      <w:autoSpaceDN w:val="0"/>
      <w:adjustRightInd w:val="0"/>
      <w:spacing w:line="278" w:lineRule="exact"/>
      <w:jc w:val="both"/>
    </w:pPr>
    <w:rPr>
      <w:lang w:val="ru-RU"/>
    </w:rPr>
  </w:style>
  <w:style w:type="paragraph" w:customStyle="1" w:styleId="Style7">
    <w:name w:val="Style7"/>
    <w:basedOn w:val="Normal"/>
    <w:rsid w:val="009F6FA4"/>
    <w:pPr>
      <w:widowControl w:val="0"/>
      <w:autoSpaceDE w:val="0"/>
      <w:autoSpaceDN w:val="0"/>
      <w:adjustRightInd w:val="0"/>
      <w:spacing w:line="259" w:lineRule="exact"/>
      <w:jc w:val="both"/>
    </w:pPr>
    <w:rPr>
      <w:rFonts w:ascii="Arial Narrow" w:hAnsi="Arial Narrow"/>
      <w:lang w:val="ru-RU"/>
    </w:rPr>
  </w:style>
  <w:style w:type="character" w:customStyle="1" w:styleId="FontStyle12">
    <w:name w:val="Font Style12"/>
    <w:rsid w:val="009F6FA4"/>
    <w:rPr>
      <w:rFonts w:ascii="Times New Roman" w:hAnsi="Times New Roman" w:cs="Times New Roman"/>
      <w:sz w:val="20"/>
      <w:szCs w:val="20"/>
    </w:rPr>
  </w:style>
  <w:style w:type="character" w:customStyle="1" w:styleId="hps">
    <w:name w:val="hps"/>
    <w:basedOn w:val="DefaultParagraphFont"/>
    <w:rsid w:val="009F6FA4"/>
  </w:style>
  <w:style w:type="paragraph" w:styleId="BodyText2">
    <w:name w:val="Body Text 2"/>
    <w:basedOn w:val="Normal"/>
    <w:link w:val="BodyText2Char"/>
    <w:rsid w:val="009F6FA4"/>
    <w:pPr>
      <w:spacing w:after="120" w:line="480" w:lineRule="auto"/>
    </w:pPr>
  </w:style>
  <w:style w:type="character" w:customStyle="1" w:styleId="BodyText2Char">
    <w:name w:val="Body Text 2 Char"/>
    <w:link w:val="BodyText2"/>
    <w:rsid w:val="009F6FA4"/>
    <w:rPr>
      <w:sz w:val="24"/>
      <w:szCs w:val="24"/>
      <w:lang w:val="uk-UA" w:eastAsia="ru-RU" w:bidi="ar-SA"/>
    </w:rPr>
  </w:style>
  <w:style w:type="paragraph" w:styleId="Header">
    <w:name w:val="header"/>
    <w:basedOn w:val="Normal"/>
    <w:link w:val="HeaderChar"/>
    <w:rsid w:val="008864D9"/>
    <w:pPr>
      <w:tabs>
        <w:tab w:val="center" w:pos="4513"/>
        <w:tab w:val="right" w:pos="9026"/>
      </w:tabs>
    </w:pPr>
  </w:style>
  <w:style w:type="character" w:customStyle="1" w:styleId="HeaderChar">
    <w:name w:val="Header Char"/>
    <w:link w:val="Header"/>
    <w:rsid w:val="008864D9"/>
    <w:rPr>
      <w:sz w:val="24"/>
      <w:szCs w:val="24"/>
      <w:lang w:eastAsia="ru-RU" w:bidi="ar-SA"/>
    </w:rPr>
  </w:style>
  <w:style w:type="paragraph" w:styleId="BalloonText">
    <w:name w:val="Balloon Text"/>
    <w:basedOn w:val="Normal"/>
    <w:link w:val="BalloonTextChar"/>
    <w:rsid w:val="008864D9"/>
    <w:rPr>
      <w:rFonts w:ascii="Segoe UI" w:hAnsi="Segoe UI" w:cs="Segoe UI"/>
      <w:sz w:val="18"/>
      <w:szCs w:val="18"/>
    </w:rPr>
  </w:style>
  <w:style w:type="character" w:customStyle="1" w:styleId="BalloonTextChar">
    <w:name w:val="Balloon Text Char"/>
    <w:link w:val="BalloonText"/>
    <w:rsid w:val="008864D9"/>
    <w:rPr>
      <w:rFonts w:ascii="Segoe UI" w:hAnsi="Segoe UI" w:cs="Segoe UI"/>
      <w:sz w:val="18"/>
      <w:szCs w:val="18"/>
      <w:lang w:eastAsia="ru-RU" w:bidi="ar-SA"/>
    </w:rPr>
  </w:style>
  <w:style w:type="character" w:styleId="CommentReference">
    <w:name w:val="annotation reference"/>
    <w:rsid w:val="00BA2B2F"/>
    <w:rPr>
      <w:sz w:val="16"/>
      <w:szCs w:val="16"/>
    </w:rPr>
  </w:style>
  <w:style w:type="paragraph" w:styleId="CommentText">
    <w:name w:val="annotation text"/>
    <w:basedOn w:val="Normal"/>
    <w:link w:val="CommentTextChar"/>
    <w:rsid w:val="00BA2B2F"/>
    <w:rPr>
      <w:sz w:val="20"/>
      <w:szCs w:val="20"/>
    </w:rPr>
  </w:style>
  <w:style w:type="character" w:customStyle="1" w:styleId="CommentTextChar">
    <w:name w:val="Comment Text Char"/>
    <w:link w:val="CommentText"/>
    <w:rsid w:val="00BA2B2F"/>
    <w:rPr>
      <w:lang w:eastAsia="ru-RU" w:bidi="ar-SA"/>
    </w:rPr>
  </w:style>
  <w:style w:type="paragraph" w:styleId="CommentSubject">
    <w:name w:val="annotation subject"/>
    <w:basedOn w:val="CommentText"/>
    <w:next w:val="CommentText"/>
    <w:link w:val="CommentSubjectChar"/>
    <w:rsid w:val="00BA2B2F"/>
    <w:rPr>
      <w:b/>
      <w:bCs/>
    </w:rPr>
  </w:style>
  <w:style w:type="character" w:customStyle="1" w:styleId="CommentSubjectChar">
    <w:name w:val="Comment Subject Char"/>
    <w:link w:val="CommentSubject"/>
    <w:rsid w:val="00BA2B2F"/>
    <w:rPr>
      <w:b/>
      <w:bCs/>
      <w:lang w:eastAsia="ru-RU" w:bidi="ar-SA"/>
    </w:rPr>
  </w:style>
  <w:style w:type="paragraph" w:styleId="Revision">
    <w:name w:val="Revision"/>
    <w:hidden/>
    <w:uiPriority w:val="99"/>
    <w:semiHidden/>
    <w:rsid w:val="002D6F73"/>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579</Words>
  <Characters>4297</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Romashkan,Neonila (AH RA_PV_CO) BI-UA-K</cp:lastModifiedBy>
  <cp:revision>7</cp:revision>
  <dcterms:created xsi:type="dcterms:W3CDTF">2024-12-04T12:53:00Z</dcterms:created>
  <dcterms:modified xsi:type="dcterms:W3CDTF">2025-05-26T14:02:00Z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d0b529-4a04-4616-88d2-531082d94bb8_Enabled">
    <vt:lpwstr>true</vt:lpwstr>
  </property>
  <property fmtid="{D5CDD505-2E9C-101B-9397-08002B2CF9AE}" pid="3" name="MSIP_Label_bfd0b529-4a04-4616-88d2-531082d94bb8_SetDate">
    <vt:lpwstr>2024-12-04T12:53:17Z</vt:lpwstr>
  </property>
  <property fmtid="{D5CDD505-2E9C-101B-9397-08002B2CF9AE}" pid="4" name="MSIP_Label_bfd0b529-4a04-4616-88d2-531082d94bb8_Method">
    <vt:lpwstr>Standard</vt:lpwstr>
  </property>
  <property fmtid="{D5CDD505-2E9C-101B-9397-08002B2CF9AE}" pid="5" name="MSIP_Label_bfd0b529-4a04-4616-88d2-531082d94bb8_Name">
    <vt:lpwstr>Internal Use</vt:lpwstr>
  </property>
  <property fmtid="{D5CDD505-2E9C-101B-9397-08002B2CF9AE}" pid="6" name="MSIP_Label_bfd0b529-4a04-4616-88d2-531082d94bb8_SiteId">
    <vt:lpwstr>e1f8af86-ee95-4718-bd0d-375b37366c83</vt:lpwstr>
  </property>
  <property fmtid="{D5CDD505-2E9C-101B-9397-08002B2CF9AE}" pid="7" name="MSIP_Label_bfd0b529-4a04-4616-88d2-531082d94bb8_ActionId">
    <vt:lpwstr>75f5e528-2640-47a0-b36a-f02e2c124d24</vt:lpwstr>
  </property>
  <property fmtid="{D5CDD505-2E9C-101B-9397-08002B2CF9AE}" pid="8" name="MSIP_Label_bfd0b529-4a04-4616-88d2-531082d94bb8_ContentBits">
    <vt:lpwstr>0</vt:lpwstr>
  </property>
</Properties>
</file>