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A0BC" w14:textId="77777777" w:rsidR="00BE0685" w:rsidRPr="003E59A5" w:rsidRDefault="00BE0685" w:rsidP="0021768C">
      <w:pPr>
        <w:jc w:val="center"/>
        <w:rPr>
          <w:b/>
        </w:rPr>
      </w:pPr>
      <w:r w:rsidRPr="003E59A5">
        <w:rPr>
          <w:b/>
        </w:rPr>
        <w:t>Коротка характеристика препарату</w:t>
      </w:r>
    </w:p>
    <w:p w14:paraId="1C723EDD" w14:textId="77777777" w:rsidR="00BE0685" w:rsidRPr="003E59A5" w:rsidRDefault="00BE0685" w:rsidP="0021768C">
      <w:pPr>
        <w:jc w:val="center"/>
        <w:rPr>
          <w:b/>
          <w:color w:val="548DD4"/>
        </w:rPr>
      </w:pPr>
    </w:p>
    <w:p w14:paraId="65E273C8" w14:textId="77777777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1. Назва ветеринарного препарату</w:t>
      </w:r>
    </w:p>
    <w:p w14:paraId="3B80B525" w14:textId="77777777" w:rsidR="006F12E7" w:rsidRPr="003E59A5" w:rsidRDefault="00E80802" w:rsidP="0021768C">
      <w:pPr>
        <w:tabs>
          <w:tab w:val="left" w:pos="-1080"/>
          <w:tab w:val="left" w:pos="-720"/>
          <w:tab w:val="left" w:pos="0"/>
          <w:tab w:val="left" w:pos="714"/>
          <w:tab w:val="left" w:pos="2160"/>
        </w:tabs>
        <w:jc w:val="both"/>
        <w:rPr>
          <w:color w:val="FF0000"/>
        </w:rPr>
      </w:pPr>
      <w:r w:rsidRPr="003E59A5">
        <w:t xml:space="preserve">СТЕРИЛЬНИЙ </w:t>
      </w:r>
      <w:r w:rsidR="00B05885" w:rsidRPr="003E59A5">
        <w:t>РОЗРІДЖУВАЧ</w:t>
      </w:r>
      <w:r w:rsidR="000B4C12" w:rsidRPr="003E59A5">
        <w:t xml:space="preserve"> (</w:t>
      </w:r>
      <w:r w:rsidR="00B05885" w:rsidRPr="003E59A5">
        <w:t>STERILE DILUENT</w:t>
      </w:r>
      <w:r w:rsidR="000B4C12" w:rsidRPr="003E59A5">
        <w:t>)</w:t>
      </w:r>
      <w:r w:rsidR="00E256C9" w:rsidRPr="003E59A5">
        <w:t xml:space="preserve"> </w:t>
      </w:r>
    </w:p>
    <w:p w14:paraId="53B21F16" w14:textId="77777777" w:rsidR="00BE0685" w:rsidRPr="003E59A5" w:rsidRDefault="00BE0685" w:rsidP="0021768C">
      <w:pPr>
        <w:tabs>
          <w:tab w:val="left" w:pos="-1080"/>
          <w:tab w:val="left" w:pos="-720"/>
          <w:tab w:val="left" w:pos="0"/>
          <w:tab w:val="left" w:pos="714"/>
          <w:tab w:val="left" w:pos="2160"/>
        </w:tabs>
        <w:jc w:val="both"/>
        <w:rPr>
          <w:b/>
        </w:rPr>
      </w:pPr>
      <w:r w:rsidRPr="003E59A5">
        <w:rPr>
          <w:b/>
        </w:rPr>
        <w:t>2. Якісний і кількісний склад</w:t>
      </w:r>
    </w:p>
    <w:p w14:paraId="735F763E" w14:textId="77777777" w:rsidR="000E6551" w:rsidRPr="003E59A5" w:rsidRDefault="000E6551" w:rsidP="0021768C">
      <w:pPr>
        <w:jc w:val="both"/>
      </w:pPr>
      <w:bookmarkStart w:id="0" w:name="_Hlk201303448"/>
      <w:bookmarkStart w:id="1" w:name="_Hlk201301994"/>
      <w:r w:rsidRPr="003E59A5">
        <w:t>1 мл розріджувача містить:</w:t>
      </w:r>
    </w:p>
    <w:p w14:paraId="26391B92" w14:textId="611A8D27" w:rsidR="00A36681" w:rsidRPr="00A36681" w:rsidRDefault="00A36681" w:rsidP="00A36681">
      <w:pPr>
        <w:jc w:val="both"/>
      </w:pPr>
      <w:bookmarkStart w:id="2" w:name="_Hlk199942051"/>
      <w:r w:rsidRPr="00A36681">
        <w:t>Сахароза..........................................................</w:t>
      </w:r>
      <w:r w:rsidR="001E40E4" w:rsidRPr="004E1BB1">
        <w:t>.</w:t>
      </w:r>
      <w:r w:rsidRPr="00A36681">
        <w:t>51,25 мг</w:t>
      </w:r>
    </w:p>
    <w:p w14:paraId="77E384A1" w14:textId="2BFD979C" w:rsidR="00A36681" w:rsidRPr="00A36681" w:rsidRDefault="00A36681" w:rsidP="00A36681">
      <w:pPr>
        <w:jc w:val="both"/>
      </w:pPr>
      <w:r w:rsidRPr="00A36681">
        <w:t>Казеїну гідролізат...........................................15,00 мг</w:t>
      </w:r>
    </w:p>
    <w:p w14:paraId="6E641776" w14:textId="1C410313" w:rsidR="00A36681" w:rsidRPr="00A36681" w:rsidRDefault="00A36681" w:rsidP="00A36681">
      <w:pPr>
        <w:jc w:val="both"/>
      </w:pPr>
      <w:r w:rsidRPr="00A36681">
        <w:t>Дикалію фосфат..............................................1,25 мг</w:t>
      </w:r>
    </w:p>
    <w:p w14:paraId="10E4F731" w14:textId="6B6EB722" w:rsidR="00A36681" w:rsidRPr="00A36681" w:rsidRDefault="00A36681" w:rsidP="00A36681">
      <w:pPr>
        <w:jc w:val="both"/>
      </w:pPr>
      <w:r w:rsidRPr="00A36681">
        <w:t>Калію дигідрофосфат......................................0,46 мг</w:t>
      </w:r>
    </w:p>
    <w:p w14:paraId="3AEBC6E0" w14:textId="44687F52" w:rsidR="00A36681" w:rsidRPr="00A36681" w:rsidRDefault="00A36681" w:rsidP="00A36681">
      <w:pPr>
        <w:jc w:val="both"/>
      </w:pPr>
      <w:r w:rsidRPr="00A36681">
        <w:t>Феноловий червоний (1% розчин).................10 мкг</w:t>
      </w:r>
    </w:p>
    <w:p w14:paraId="0239626F" w14:textId="0EE56584" w:rsidR="00A36681" w:rsidRPr="00A36681" w:rsidRDefault="00A36681" w:rsidP="00A36681">
      <w:pPr>
        <w:jc w:val="both"/>
      </w:pPr>
      <w:r w:rsidRPr="00A36681">
        <w:t xml:space="preserve">Натрію гідроксид або соляна кислота............до утворення рівня 6,9 ≤ </w:t>
      </w:r>
      <w:r w:rsidRPr="00A36681">
        <w:rPr>
          <w:lang w:val="ru-RU"/>
        </w:rPr>
        <w:t>pH</w:t>
      </w:r>
      <w:r w:rsidRPr="00A36681">
        <w:t xml:space="preserve"> ≤ 7,3 (в процесі виробництва)</w:t>
      </w:r>
    </w:p>
    <w:p w14:paraId="6E81F4BE" w14:textId="6E6FAAE2" w:rsidR="00A36681" w:rsidRPr="00A36681" w:rsidRDefault="00A36681" w:rsidP="00A36681">
      <w:pPr>
        <w:jc w:val="both"/>
      </w:pPr>
      <w:r w:rsidRPr="00A36681">
        <w:t>Вода для ін’єкцій.............................................до утворення об’єму 1 мл</w:t>
      </w:r>
    </w:p>
    <w:p w14:paraId="0A97149D" w14:textId="1A7773B2" w:rsidR="00A36681" w:rsidRPr="00A36681" w:rsidRDefault="00A36681" w:rsidP="00A36681">
      <w:pPr>
        <w:jc w:val="both"/>
      </w:pPr>
      <w:r w:rsidRPr="00A36681">
        <w:t>рН препарату при випуску серії ....................6,4 ≤ R ≤ 7,8</w:t>
      </w:r>
    </w:p>
    <w:p w14:paraId="60FE91B1" w14:textId="42CB0864" w:rsidR="00A36681" w:rsidRPr="00A36681" w:rsidRDefault="00A36681" w:rsidP="00A36681">
      <w:pPr>
        <w:jc w:val="both"/>
      </w:pPr>
      <w:r w:rsidRPr="00A36681">
        <w:t>рН в кінці терміну придатності .....................5,8 ≤ R ≤ 7,8</w:t>
      </w:r>
      <w:bookmarkEnd w:id="0"/>
    </w:p>
    <w:bookmarkEnd w:id="1"/>
    <w:bookmarkEnd w:id="2"/>
    <w:p w14:paraId="3E95D859" w14:textId="77777777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3. Фармацевтична форма</w:t>
      </w:r>
    </w:p>
    <w:p w14:paraId="1599A2B4" w14:textId="075A8435" w:rsidR="00C51699" w:rsidRPr="003E59A5" w:rsidRDefault="00C51699" w:rsidP="0021768C">
      <w:pPr>
        <w:tabs>
          <w:tab w:val="left" w:pos="284"/>
        </w:tabs>
        <w:jc w:val="both"/>
      </w:pPr>
      <w:r w:rsidRPr="003E59A5">
        <w:t>Р</w:t>
      </w:r>
      <w:r w:rsidR="00E256C9" w:rsidRPr="003E59A5">
        <w:t>ідина</w:t>
      </w:r>
      <w:r w:rsidR="00543CCA" w:rsidRPr="003E59A5">
        <w:t xml:space="preserve"> (</w:t>
      </w:r>
      <w:r w:rsidR="00A36681" w:rsidRPr="003E59A5">
        <w:t>розчин червоно-помаранчевого кольору</w:t>
      </w:r>
      <w:r w:rsidR="00543CCA" w:rsidRPr="003E59A5">
        <w:t>)</w:t>
      </w:r>
      <w:r w:rsidR="00E256C9" w:rsidRPr="003E59A5">
        <w:t>.</w:t>
      </w:r>
    </w:p>
    <w:p w14:paraId="42039B19" w14:textId="77777777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4. Імунобіологічні властивості</w:t>
      </w:r>
    </w:p>
    <w:p w14:paraId="1F61E168" w14:textId="36182EB6" w:rsidR="004F01CB" w:rsidRPr="003E59A5" w:rsidRDefault="00397B34" w:rsidP="0021768C">
      <w:pPr>
        <w:tabs>
          <w:tab w:val="left" w:pos="284"/>
        </w:tabs>
        <w:jc w:val="both"/>
      </w:pPr>
      <w:bookmarkStart w:id="3" w:name="_Hlk199942076"/>
      <w:r w:rsidRPr="003E59A5">
        <w:t>Для приготування суспензії заморожених вакцин проти хвороби Марека, виробництва компанії Берінгер Інгельхайм.</w:t>
      </w:r>
    </w:p>
    <w:bookmarkEnd w:id="3"/>
    <w:p w14:paraId="091105A9" w14:textId="6F7A1046" w:rsidR="00BE0685" w:rsidRPr="003E59A5" w:rsidRDefault="00467D72" w:rsidP="0021768C">
      <w:pPr>
        <w:tabs>
          <w:tab w:val="left" w:pos="284"/>
        </w:tabs>
        <w:jc w:val="both"/>
      </w:pPr>
      <w:r w:rsidRPr="003E59A5">
        <w:t>ATC vet класифікаційний код QV07AB</w:t>
      </w:r>
      <w:r w:rsidR="00C86A3A" w:rsidRPr="003E59A5">
        <w:t xml:space="preserve"> </w:t>
      </w:r>
      <w:r w:rsidRPr="003E59A5">
        <w:t xml:space="preserve"> </w:t>
      </w:r>
      <w:r w:rsidR="00397B34" w:rsidRPr="003E59A5">
        <w:t>̶</w:t>
      </w:r>
      <w:r w:rsidRPr="003E59A5">
        <w:t xml:space="preserve"> розчинники та розріджувач</w:t>
      </w:r>
      <w:r w:rsidR="00397B34" w:rsidRPr="003E59A5">
        <w:t>і</w:t>
      </w:r>
      <w:r w:rsidRPr="003E59A5">
        <w:t>, включаючи розчини для промивання.</w:t>
      </w:r>
    </w:p>
    <w:p w14:paraId="6D12E4AE" w14:textId="77777777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5. Клінічні особливості</w:t>
      </w:r>
    </w:p>
    <w:p w14:paraId="08DBE193" w14:textId="77777777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5.1. Вид тварин</w:t>
      </w:r>
    </w:p>
    <w:p w14:paraId="76696957" w14:textId="77777777" w:rsidR="00BE0685" w:rsidRPr="003E59A5" w:rsidRDefault="00BE0685" w:rsidP="0021768C">
      <w:pPr>
        <w:pStyle w:val="Style8"/>
        <w:widowControl/>
        <w:tabs>
          <w:tab w:val="left" w:pos="284"/>
        </w:tabs>
        <w:spacing w:line="240" w:lineRule="auto"/>
        <w:rPr>
          <w:lang w:val="uk-UA"/>
        </w:rPr>
      </w:pPr>
      <w:r w:rsidRPr="003E59A5">
        <w:rPr>
          <w:lang w:val="uk-UA"/>
        </w:rPr>
        <w:t>Кури.</w:t>
      </w:r>
    </w:p>
    <w:p w14:paraId="44FB1D80" w14:textId="77777777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5.2. Показання до застосування</w:t>
      </w:r>
    </w:p>
    <w:p w14:paraId="70A78ABE" w14:textId="439CCD3C" w:rsidR="00BE0685" w:rsidRPr="003E59A5" w:rsidRDefault="00E80802" w:rsidP="0021768C">
      <w:pPr>
        <w:tabs>
          <w:tab w:val="left" w:pos="142"/>
          <w:tab w:val="left" w:pos="284"/>
        </w:tabs>
        <w:jc w:val="both"/>
      </w:pPr>
      <w:r w:rsidRPr="003E59A5">
        <w:t>Стерильний р</w:t>
      </w:r>
      <w:r w:rsidR="00467D72" w:rsidRPr="003E59A5">
        <w:t xml:space="preserve">озріджувач </w:t>
      </w:r>
      <w:r w:rsidR="00C62A9C" w:rsidRPr="003E59A5">
        <w:t xml:space="preserve">призначений для </w:t>
      </w:r>
      <w:r w:rsidR="00B8059D" w:rsidRPr="003E59A5">
        <w:t xml:space="preserve">розрідження </w:t>
      </w:r>
      <w:r w:rsidR="00C62A9C" w:rsidRPr="003E59A5">
        <w:t>заморожених вакцин проти хвороби Марека</w:t>
      </w:r>
      <w:r w:rsidR="004F01CB" w:rsidRPr="003E59A5">
        <w:t>,</w:t>
      </w:r>
      <w:r w:rsidR="00C62A9C" w:rsidRPr="003E59A5">
        <w:t xml:space="preserve"> </w:t>
      </w:r>
      <w:r w:rsidR="00095014" w:rsidRPr="003E59A5">
        <w:t>які</w:t>
      </w:r>
      <w:r w:rsidR="00993057" w:rsidRPr="003E59A5">
        <w:t xml:space="preserve"> застосовуються</w:t>
      </w:r>
      <w:r w:rsidR="00737555" w:rsidRPr="003E59A5">
        <w:t xml:space="preserve"> відповідно до </w:t>
      </w:r>
      <w:r w:rsidR="00095014" w:rsidRPr="003E59A5">
        <w:t>листів</w:t>
      </w:r>
      <w:r w:rsidR="00A36681" w:rsidRPr="003E59A5">
        <w:t>ок</w:t>
      </w:r>
      <w:r w:rsidR="00095014" w:rsidRPr="003E59A5">
        <w:t>-вклад</w:t>
      </w:r>
      <w:r w:rsidR="00A36681" w:rsidRPr="003E59A5">
        <w:t>ок</w:t>
      </w:r>
      <w:r w:rsidR="00095014" w:rsidRPr="003E59A5">
        <w:t xml:space="preserve"> на вакцини</w:t>
      </w:r>
      <w:r w:rsidR="00737555" w:rsidRPr="003E59A5">
        <w:t>.</w:t>
      </w:r>
    </w:p>
    <w:p w14:paraId="668293A8" w14:textId="77777777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5.3. Протипоказання</w:t>
      </w:r>
    </w:p>
    <w:p w14:paraId="50D9891B" w14:textId="77777777" w:rsidR="001E40E4" w:rsidRPr="004E1BB1" w:rsidRDefault="006D1805" w:rsidP="0021768C">
      <w:pPr>
        <w:tabs>
          <w:tab w:val="left" w:pos="284"/>
        </w:tabs>
        <w:jc w:val="both"/>
        <w:rPr>
          <w:lang w:val="ru-RU"/>
        </w:rPr>
      </w:pPr>
      <w:r w:rsidRPr="003E59A5">
        <w:t>Не застосовувати у якості самостійного засобу.</w:t>
      </w:r>
    </w:p>
    <w:p w14:paraId="2F7E3833" w14:textId="29202288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5.4. Побічна дія</w:t>
      </w:r>
    </w:p>
    <w:p w14:paraId="183EC30A" w14:textId="7E744C0B" w:rsidR="004F01CB" w:rsidRPr="003E59A5" w:rsidRDefault="00397B34" w:rsidP="0021768C">
      <w:pPr>
        <w:tabs>
          <w:tab w:val="left" w:pos="284"/>
        </w:tabs>
        <w:jc w:val="both"/>
      </w:pPr>
      <w:bookmarkStart w:id="4" w:name="_Hlk199942373"/>
      <w:r w:rsidRPr="003E59A5">
        <w:t>Не відома.</w:t>
      </w:r>
      <w:bookmarkEnd w:id="4"/>
    </w:p>
    <w:p w14:paraId="3ACD0730" w14:textId="446DB882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5.5. Особлив</w:t>
      </w:r>
      <w:r w:rsidR="004774F4" w:rsidRPr="003E59A5">
        <w:rPr>
          <w:b/>
        </w:rPr>
        <w:t>і</w:t>
      </w:r>
      <w:r w:rsidRPr="003E59A5">
        <w:rPr>
          <w:b/>
        </w:rPr>
        <w:t xml:space="preserve"> застереження при використанні</w:t>
      </w:r>
    </w:p>
    <w:p w14:paraId="66998AE3" w14:textId="47A89CFB" w:rsidR="005F775C" w:rsidRPr="003E59A5" w:rsidRDefault="00FA2B7D" w:rsidP="0021768C">
      <w:pPr>
        <w:tabs>
          <w:tab w:val="left" w:pos="284"/>
        </w:tabs>
        <w:jc w:val="both"/>
      </w:pPr>
      <w:r w:rsidRPr="003E59A5">
        <w:t>Читати</w:t>
      </w:r>
      <w:r w:rsidR="005F775C" w:rsidRPr="003E59A5">
        <w:t xml:space="preserve"> особлив</w:t>
      </w:r>
      <w:r w:rsidR="00397B34" w:rsidRPr="003E59A5">
        <w:t>і</w:t>
      </w:r>
      <w:r w:rsidR="005F775C" w:rsidRPr="003E59A5">
        <w:t xml:space="preserve"> </w:t>
      </w:r>
      <w:r w:rsidRPr="003E59A5">
        <w:t>застереження при застосуванні</w:t>
      </w:r>
      <w:r w:rsidR="005F775C" w:rsidRPr="003E59A5">
        <w:t xml:space="preserve"> заморожених вакцин проти хвороби Марека</w:t>
      </w:r>
      <w:r w:rsidR="00397B34" w:rsidRPr="003E59A5">
        <w:t>,</w:t>
      </w:r>
      <w:r w:rsidRPr="003E59A5">
        <w:t xml:space="preserve"> </w:t>
      </w:r>
      <w:r w:rsidR="0056463F" w:rsidRPr="003E59A5">
        <w:t xml:space="preserve">виробництва компанії Берінгер Інгельхайм, які </w:t>
      </w:r>
      <w:r w:rsidR="00A34E66" w:rsidRPr="003E59A5">
        <w:t>зазначені в листів</w:t>
      </w:r>
      <w:r w:rsidR="008A22C2" w:rsidRPr="003E59A5">
        <w:t>ках</w:t>
      </w:r>
      <w:r w:rsidR="00A34E66" w:rsidRPr="003E59A5">
        <w:t>-</w:t>
      </w:r>
      <w:r w:rsidRPr="003E59A5">
        <w:t>вклад</w:t>
      </w:r>
      <w:r w:rsidR="008A22C2" w:rsidRPr="003E59A5">
        <w:t>ках</w:t>
      </w:r>
      <w:r w:rsidRPr="003E59A5">
        <w:t xml:space="preserve"> до вакцин</w:t>
      </w:r>
      <w:r w:rsidR="005F775C" w:rsidRPr="003E59A5">
        <w:t>.</w:t>
      </w:r>
    </w:p>
    <w:p w14:paraId="2B720720" w14:textId="77777777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5.6. Застосування під час несучості</w:t>
      </w:r>
    </w:p>
    <w:p w14:paraId="5088163D" w14:textId="598E1D18" w:rsidR="00BE0685" w:rsidRPr="003E59A5" w:rsidRDefault="00373A4D" w:rsidP="0021768C">
      <w:pPr>
        <w:tabs>
          <w:tab w:val="left" w:pos="284"/>
        </w:tabs>
        <w:jc w:val="both"/>
      </w:pPr>
      <w:r w:rsidRPr="003E59A5">
        <w:t xml:space="preserve">Читати відповідну інформацію до </w:t>
      </w:r>
      <w:bookmarkStart w:id="5" w:name="_Hlk199942258"/>
      <w:r w:rsidR="00FB5051" w:rsidRPr="003E59A5">
        <w:t xml:space="preserve">заморожених </w:t>
      </w:r>
      <w:bookmarkEnd w:id="5"/>
      <w:r w:rsidRPr="003E59A5">
        <w:t xml:space="preserve">вакцин </w:t>
      </w:r>
      <w:r w:rsidR="0056463F" w:rsidRPr="003E59A5">
        <w:t>проти хвороби Марека</w:t>
      </w:r>
      <w:r w:rsidR="008A22C2" w:rsidRPr="003E59A5">
        <w:t>,</w:t>
      </w:r>
      <w:r w:rsidR="0056463F" w:rsidRPr="003E59A5">
        <w:t xml:space="preserve"> виробництва компанії Берінгер Інгельхайм</w:t>
      </w:r>
      <w:r w:rsidRPr="003E59A5">
        <w:t>.</w:t>
      </w:r>
    </w:p>
    <w:p w14:paraId="0FCA042B" w14:textId="77777777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5.7. Взаємодія з іншими засобами та інші форми взаємодії</w:t>
      </w:r>
    </w:p>
    <w:p w14:paraId="540EAF93" w14:textId="7ACBBF6A" w:rsidR="00F321DA" w:rsidRPr="003E59A5" w:rsidRDefault="00397B34" w:rsidP="0021768C">
      <w:pPr>
        <w:tabs>
          <w:tab w:val="left" w:pos="284"/>
        </w:tabs>
        <w:jc w:val="both"/>
      </w:pPr>
      <w:r w:rsidRPr="003E59A5">
        <w:t>Немає.</w:t>
      </w:r>
    </w:p>
    <w:p w14:paraId="52727EF5" w14:textId="77777777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5.8. Дози і способи введення тваринам різного віку</w:t>
      </w:r>
    </w:p>
    <w:p w14:paraId="0D7D4DB5" w14:textId="4EC86913" w:rsidR="00DF16FD" w:rsidRPr="003E59A5" w:rsidRDefault="00F83333" w:rsidP="0021768C">
      <w:pPr>
        <w:tabs>
          <w:tab w:val="left" w:pos="142"/>
          <w:tab w:val="left" w:pos="284"/>
        </w:tabs>
        <w:jc w:val="both"/>
      </w:pPr>
      <w:bookmarkStart w:id="6" w:name="OLE_LINK120"/>
      <w:bookmarkStart w:id="7" w:name="OLE_LINK119"/>
      <w:r w:rsidRPr="003E59A5">
        <w:t>Стерильний розріджувач використовуют</w:t>
      </w:r>
      <w:r w:rsidR="005E1AEF" w:rsidRPr="003E59A5">
        <w:t xml:space="preserve">ь відповідно </w:t>
      </w:r>
      <w:r w:rsidRPr="003E59A5">
        <w:t xml:space="preserve">до </w:t>
      </w:r>
      <w:r w:rsidR="005E1AEF" w:rsidRPr="003E59A5">
        <w:t>приготування</w:t>
      </w:r>
      <w:r w:rsidR="001B7438" w:rsidRPr="003E59A5">
        <w:t xml:space="preserve"> </w:t>
      </w:r>
      <w:bookmarkStart w:id="8" w:name="_Hlk199942290"/>
      <w:r w:rsidR="00770680" w:rsidRPr="003E59A5">
        <w:t xml:space="preserve">згідно листівок-вкладок до  </w:t>
      </w:r>
      <w:r w:rsidR="001B7438" w:rsidRPr="003E59A5">
        <w:t>заморожених</w:t>
      </w:r>
      <w:r w:rsidR="005E1AEF" w:rsidRPr="003E59A5">
        <w:t xml:space="preserve"> </w:t>
      </w:r>
      <w:bookmarkEnd w:id="8"/>
      <w:r w:rsidR="005E1AEF" w:rsidRPr="003E59A5">
        <w:t>вакцин</w:t>
      </w:r>
      <w:r w:rsidR="00770680" w:rsidRPr="003E59A5">
        <w:t xml:space="preserve"> проти хвороби Марека, виробництва компанії Берінгер Інгельхайм.</w:t>
      </w:r>
      <w:r w:rsidRPr="003E59A5">
        <w:t xml:space="preserve"> </w:t>
      </w:r>
    </w:p>
    <w:bookmarkEnd w:id="6"/>
    <w:bookmarkEnd w:id="7"/>
    <w:p w14:paraId="1B1ABDEC" w14:textId="77777777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5.9. Передозування (симптоми, невідкладні заходи, антидоти)</w:t>
      </w:r>
    </w:p>
    <w:p w14:paraId="6BF4BDCE" w14:textId="0E1124B6" w:rsidR="00FD41B2" w:rsidRPr="003E59A5" w:rsidRDefault="00770680" w:rsidP="0021768C">
      <w:pPr>
        <w:tabs>
          <w:tab w:val="left" w:pos="284"/>
        </w:tabs>
        <w:jc w:val="both"/>
      </w:pPr>
      <w:r w:rsidRPr="003E59A5">
        <w:t>Препарат окремо н</w:t>
      </w:r>
      <w:r w:rsidR="001B7438" w:rsidRPr="003E59A5">
        <w:t>е застосовується.</w:t>
      </w:r>
    </w:p>
    <w:p w14:paraId="27227515" w14:textId="77777777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5.10. Спеціальні застереження</w:t>
      </w:r>
    </w:p>
    <w:p w14:paraId="6FF27A2C" w14:textId="77777777" w:rsidR="00FD41B2" w:rsidRPr="003E59A5" w:rsidRDefault="00E02D78" w:rsidP="0021768C">
      <w:pPr>
        <w:tabs>
          <w:tab w:val="left" w:pos="284"/>
        </w:tabs>
        <w:jc w:val="both"/>
      </w:pPr>
      <w:r w:rsidRPr="003E59A5">
        <w:t>До початку роботи з розріджувачем ознайомитися з листівкою-вкладкою</w:t>
      </w:r>
      <w:r w:rsidR="00EB68AA" w:rsidRPr="003E59A5">
        <w:t xml:space="preserve"> до відповідної вакцини, з якою буде застосовуватися розріджувач.</w:t>
      </w:r>
      <w:r w:rsidR="002F16D7" w:rsidRPr="003E59A5">
        <w:t xml:space="preserve"> Не використовувати розріджувач у разі помутніння.</w:t>
      </w:r>
    </w:p>
    <w:p w14:paraId="4445D821" w14:textId="77777777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5.11. Період виведення (каренції)</w:t>
      </w:r>
    </w:p>
    <w:p w14:paraId="4681446D" w14:textId="3E08BE25" w:rsidR="00EB68AA" w:rsidRPr="003E59A5" w:rsidRDefault="001B7438" w:rsidP="0021768C">
      <w:pPr>
        <w:tabs>
          <w:tab w:val="left" w:pos="284"/>
        </w:tabs>
        <w:jc w:val="both"/>
        <w:rPr>
          <w:bCs/>
        </w:rPr>
      </w:pPr>
      <w:bookmarkStart w:id="9" w:name="_Hlk199942393"/>
      <w:r w:rsidRPr="003E59A5">
        <w:rPr>
          <w:bCs/>
        </w:rPr>
        <w:t>0 діб.</w:t>
      </w:r>
      <w:bookmarkEnd w:id="9"/>
    </w:p>
    <w:p w14:paraId="682AECA7" w14:textId="4BED24E8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lastRenderedPageBreak/>
        <w:t xml:space="preserve">5.12. Спеціальні застереження для осіб і обслуговуючого персоналу, </w:t>
      </w:r>
      <w:r w:rsidR="001B7438" w:rsidRPr="003E59A5">
        <w:rPr>
          <w:b/>
        </w:rPr>
        <w:t xml:space="preserve">які </w:t>
      </w:r>
      <w:r w:rsidRPr="003E59A5">
        <w:rPr>
          <w:b/>
        </w:rPr>
        <w:t>вводять засоби захисту тваринам</w:t>
      </w:r>
    </w:p>
    <w:p w14:paraId="51C5A174" w14:textId="17FA98B6" w:rsidR="00BC3C8F" w:rsidRPr="003E59A5" w:rsidRDefault="00EB68AA" w:rsidP="00A34E66">
      <w:pPr>
        <w:tabs>
          <w:tab w:val="left" w:pos="142"/>
          <w:tab w:val="left" w:pos="284"/>
        </w:tabs>
        <w:jc w:val="both"/>
        <w:rPr>
          <w:b/>
          <w:lang w:val="ru-RU"/>
        </w:rPr>
      </w:pPr>
      <w:r w:rsidRPr="003E59A5">
        <w:t xml:space="preserve">Застосування розріджувача проводять з дотриманням загальноприйнятих правил асептики і антисептики. </w:t>
      </w:r>
      <w:r w:rsidR="00BE0685" w:rsidRPr="003E59A5">
        <w:t>У разі випадкового введення людині негайно звернутись до лікаря</w:t>
      </w:r>
      <w:r w:rsidR="00FD41B2" w:rsidRPr="003E59A5">
        <w:t xml:space="preserve"> </w:t>
      </w:r>
      <w:r w:rsidR="00226FAD" w:rsidRPr="003E59A5">
        <w:t xml:space="preserve">гуманної медицини </w:t>
      </w:r>
      <w:r w:rsidR="00FD41B2" w:rsidRPr="003E59A5">
        <w:t>та показати листівку-вкладку</w:t>
      </w:r>
      <w:r w:rsidRPr="003E59A5">
        <w:t xml:space="preserve"> та пак</w:t>
      </w:r>
      <w:r w:rsidR="001B7438" w:rsidRPr="003E59A5">
        <w:t>о</w:t>
      </w:r>
      <w:r w:rsidRPr="003E59A5">
        <w:t>вання.</w:t>
      </w:r>
    </w:p>
    <w:p w14:paraId="25CFB05D" w14:textId="77777777" w:rsidR="00BE0685" w:rsidRPr="003E59A5" w:rsidRDefault="00BE0685" w:rsidP="0021768C">
      <w:pPr>
        <w:tabs>
          <w:tab w:val="left" w:pos="284"/>
        </w:tabs>
        <w:jc w:val="both"/>
        <w:rPr>
          <w:i/>
        </w:rPr>
      </w:pPr>
      <w:r w:rsidRPr="003E59A5">
        <w:rPr>
          <w:b/>
        </w:rPr>
        <w:t>6. Фармацевтичні особливості</w:t>
      </w:r>
    </w:p>
    <w:p w14:paraId="2BADB5BB" w14:textId="77777777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6.1. Основні форми несумісності</w:t>
      </w:r>
    </w:p>
    <w:p w14:paraId="42218786" w14:textId="49B13A17" w:rsidR="00FD41B2" w:rsidRPr="003E59A5" w:rsidRDefault="00FD41B2" w:rsidP="0021768C">
      <w:pPr>
        <w:jc w:val="both"/>
      </w:pPr>
      <w:r w:rsidRPr="003E59A5">
        <w:t xml:space="preserve">Не змішувати з іншими </w:t>
      </w:r>
      <w:r w:rsidR="00007339" w:rsidRPr="003E59A5">
        <w:t xml:space="preserve">ветеринарними </w:t>
      </w:r>
      <w:r w:rsidRPr="003E59A5">
        <w:t>лікарськими засобами</w:t>
      </w:r>
      <w:r w:rsidR="001B7438" w:rsidRPr="003E59A5">
        <w:t>,</w:t>
      </w:r>
      <w:r w:rsidRPr="003E59A5">
        <w:t xml:space="preserve"> </w:t>
      </w:r>
      <w:r w:rsidR="00EB68AA" w:rsidRPr="003E59A5">
        <w:t xml:space="preserve">окрім </w:t>
      </w:r>
      <w:r w:rsidRPr="003E59A5">
        <w:t xml:space="preserve">заморожених вакцин </w:t>
      </w:r>
      <w:r w:rsidR="00EB68AA" w:rsidRPr="003E59A5">
        <w:t>проти хвороби Марека</w:t>
      </w:r>
      <w:r w:rsidR="00007339" w:rsidRPr="003E59A5">
        <w:t>,</w:t>
      </w:r>
      <w:r w:rsidR="00EB68AA" w:rsidRPr="003E59A5">
        <w:t xml:space="preserve"> виробництва компанії Берінгер Інгельхайм</w:t>
      </w:r>
      <w:r w:rsidRPr="003E59A5">
        <w:t>.</w:t>
      </w:r>
    </w:p>
    <w:p w14:paraId="1B58E930" w14:textId="77777777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6.2. Термін придатності</w:t>
      </w:r>
    </w:p>
    <w:p w14:paraId="3CF6912F" w14:textId="1AFD76C3" w:rsidR="00FD41B2" w:rsidRPr="003E59A5" w:rsidRDefault="00FD41B2" w:rsidP="0021768C">
      <w:pPr>
        <w:tabs>
          <w:tab w:val="left" w:pos="0"/>
        </w:tabs>
        <w:jc w:val="both"/>
      </w:pPr>
      <w:bookmarkStart w:id="10" w:name="OLE_LINK107"/>
      <w:bookmarkStart w:id="11" w:name="OLE_LINK106"/>
      <w:r w:rsidRPr="003E59A5">
        <w:t xml:space="preserve">Термін придатності: </w:t>
      </w:r>
      <w:r w:rsidR="00FC5D07" w:rsidRPr="003E59A5">
        <w:rPr>
          <w:lang w:val="ru-RU"/>
        </w:rPr>
        <w:t>36</w:t>
      </w:r>
      <w:r w:rsidR="001A59E9" w:rsidRPr="003E59A5">
        <w:t xml:space="preserve"> місяці</w:t>
      </w:r>
      <w:r w:rsidR="00FC5D07" w:rsidRPr="003E59A5">
        <w:t>в</w:t>
      </w:r>
      <w:r w:rsidR="001A59E9" w:rsidRPr="003E59A5">
        <w:t>.</w:t>
      </w:r>
    </w:p>
    <w:p w14:paraId="5A2C7B22" w14:textId="51FAB358" w:rsidR="00FD41B2" w:rsidRPr="003E59A5" w:rsidRDefault="00FD41B2" w:rsidP="0021768C">
      <w:pPr>
        <w:tabs>
          <w:tab w:val="left" w:pos="0"/>
        </w:tabs>
        <w:jc w:val="both"/>
      </w:pPr>
      <w:r w:rsidRPr="003E59A5">
        <w:t>Використати відразу після відкриття</w:t>
      </w:r>
      <w:r w:rsidR="00023A0E" w:rsidRPr="003E59A5">
        <w:t xml:space="preserve"> первиного та вторинного паковання</w:t>
      </w:r>
      <w:r w:rsidRPr="003E59A5">
        <w:t>.</w:t>
      </w:r>
    </w:p>
    <w:bookmarkEnd w:id="10"/>
    <w:bookmarkEnd w:id="11"/>
    <w:p w14:paraId="777CB6FE" w14:textId="77777777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6.3. Особливі застереження щодо зберігання</w:t>
      </w:r>
    </w:p>
    <w:p w14:paraId="3C49A79B" w14:textId="07C2FDD2" w:rsidR="00BE0685" w:rsidRPr="003E59A5" w:rsidRDefault="007E7DD8" w:rsidP="0021768C">
      <w:pPr>
        <w:jc w:val="both"/>
        <w:rPr>
          <w:bCs/>
        </w:rPr>
      </w:pPr>
      <w:r w:rsidRPr="003E59A5">
        <w:t>З</w:t>
      </w:r>
      <w:r w:rsidR="00BE0685" w:rsidRPr="003E59A5">
        <w:t xml:space="preserve">берігати та транспортувати </w:t>
      </w:r>
      <w:r w:rsidR="001B7438" w:rsidRPr="003E59A5">
        <w:t>за</w:t>
      </w:r>
      <w:r w:rsidR="00BE0685" w:rsidRPr="003E59A5">
        <w:t xml:space="preserve"> температур</w:t>
      </w:r>
      <w:r w:rsidR="001B7438" w:rsidRPr="003E59A5">
        <w:t>и</w:t>
      </w:r>
      <w:r w:rsidR="00BE0685" w:rsidRPr="003E59A5">
        <w:t xml:space="preserve"> </w:t>
      </w:r>
      <w:bookmarkStart w:id="12" w:name="OLE_LINK108"/>
      <w:bookmarkStart w:id="13" w:name="OLE_LINK109"/>
      <w:r w:rsidR="002F154F" w:rsidRPr="003E59A5">
        <w:t>нижче 30</w:t>
      </w:r>
      <w:r w:rsidR="00BE0685" w:rsidRPr="003E59A5">
        <w:t>°С</w:t>
      </w:r>
      <w:r w:rsidR="00BE0685" w:rsidRPr="003E59A5">
        <w:rPr>
          <w:bCs/>
        </w:rPr>
        <w:t xml:space="preserve">. </w:t>
      </w:r>
      <w:bookmarkEnd w:id="12"/>
      <w:bookmarkEnd w:id="13"/>
      <w:r w:rsidRPr="003E59A5">
        <w:rPr>
          <w:bCs/>
        </w:rPr>
        <w:t>Не заморожувати</w:t>
      </w:r>
      <w:r w:rsidR="00813659" w:rsidRPr="003E59A5">
        <w:rPr>
          <w:bCs/>
        </w:rPr>
        <w:t>.</w:t>
      </w:r>
      <w:r w:rsidRPr="003E59A5">
        <w:rPr>
          <w:bCs/>
        </w:rPr>
        <w:t xml:space="preserve"> </w:t>
      </w:r>
    </w:p>
    <w:p w14:paraId="70AFB46E" w14:textId="5ACF59F9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6.4. Природа і склад контейнера первинного паковання</w:t>
      </w:r>
    </w:p>
    <w:p w14:paraId="16C8C3FA" w14:textId="77777777" w:rsidR="00A36681" w:rsidRPr="00A36681" w:rsidRDefault="00A36681" w:rsidP="00A36681">
      <w:pPr>
        <w:jc w:val="both"/>
      </w:pPr>
      <w:r w:rsidRPr="00A36681">
        <w:t>Для кожного з виду паковань:</w:t>
      </w:r>
    </w:p>
    <w:p w14:paraId="2F12FE86" w14:textId="77777777" w:rsidR="00A36681" w:rsidRPr="00A36681" w:rsidRDefault="00A36681" w:rsidP="00A36681">
      <w:pPr>
        <w:jc w:val="both"/>
      </w:pPr>
      <w:r w:rsidRPr="00A36681">
        <w:t xml:space="preserve">первинне: пакет з полівінілхлориду (ПВХ) </w:t>
      </w:r>
      <w:bookmarkStart w:id="14" w:name="_Hlk201305715"/>
      <w:r w:rsidRPr="00A36681">
        <w:t>об’ємом 200 мл, 400 мл, 800 мл та 1200 мл</w:t>
      </w:r>
      <w:bookmarkEnd w:id="14"/>
      <w:r w:rsidRPr="00A36681">
        <w:t xml:space="preserve">; </w:t>
      </w:r>
    </w:p>
    <w:p w14:paraId="06BB3712" w14:textId="2A7ECAC2" w:rsidR="00A36681" w:rsidRPr="00A36681" w:rsidRDefault="00A36681" w:rsidP="00A36681">
      <w:pPr>
        <w:jc w:val="both"/>
      </w:pPr>
      <w:r w:rsidRPr="00A36681">
        <w:t xml:space="preserve">вторинне: </w:t>
      </w:r>
      <w:bookmarkStart w:id="15" w:name="_Hlk201305696"/>
      <w:r w:rsidRPr="00A36681">
        <w:t>пакет</w:t>
      </w:r>
      <w:r w:rsidR="001E40E4" w:rsidRPr="001E40E4">
        <w:t xml:space="preserve"> </w:t>
      </w:r>
      <w:r w:rsidRPr="00A36681">
        <w:t>з поліпропілену (PP)/ поліаміду (PA)/ поліетилену (PE) ламінату.</w:t>
      </w:r>
      <w:bookmarkEnd w:id="15"/>
    </w:p>
    <w:p w14:paraId="51F5896B" w14:textId="77777777" w:rsidR="00BE0685" w:rsidRPr="003E59A5" w:rsidRDefault="00BE0685" w:rsidP="0021768C">
      <w:pPr>
        <w:tabs>
          <w:tab w:val="left" w:pos="142"/>
          <w:tab w:val="left" w:pos="284"/>
        </w:tabs>
        <w:jc w:val="both"/>
        <w:rPr>
          <w:b/>
        </w:rPr>
      </w:pPr>
      <w:r w:rsidRPr="003E59A5">
        <w:rPr>
          <w:b/>
        </w:rPr>
        <w:t>6.5. Назва та місцезнаходження власника реєстраційного посвідчення</w:t>
      </w:r>
    </w:p>
    <w:p w14:paraId="53A5BA37" w14:textId="77777777" w:rsidR="00BE0685" w:rsidRPr="003E59A5" w:rsidRDefault="00833D03" w:rsidP="0021768C">
      <w:pPr>
        <w:tabs>
          <w:tab w:val="left" w:pos="284"/>
        </w:tabs>
        <w:jc w:val="both"/>
      </w:pPr>
      <w:r w:rsidRPr="003E59A5">
        <w:t>Берінгер Інгельхайм Ветмедіка ГмбХ, 55216 м. Інгельхайм-на-Рейні, Німеччина</w:t>
      </w:r>
      <w:r w:rsidR="00BE0685" w:rsidRPr="003E59A5">
        <w:t>.</w:t>
      </w:r>
    </w:p>
    <w:p w14:paraId="17E5C2D9" w14:textId="77777777" w:rsidR="00BE0685" w:rsidRPr="003E59A5" w:rsidRDefault="00BE0685" w:rsidP="0021768C">
      <w:pPr>
        <w:tabs>
          <w:tab w:val="left" w:pos="142"/>
          <w:tab w:val="left" w:pos="284"/>
        </w:tabs>
        <w:jc w:val="both"/>
        <w:rPr>
          <w:b/>
        </w:rPr>
      </w:pPr>
      <w:r w:rsidRPr="003E59A5">
        <w:rPr>
          <w:b/>
        </w:rPr>
        <w:t xml:space="preserve">6.6. Назва та місцезнаходження виробників </w:t>
      </w:r>
    </w:p>
    <w:p w14:paraId="6470C3C4" w14:textId="77777777" w:rsidR="005D668E" w:rsidRPr="003E59A5" w:rsidRDefault="005D668E" w:rsidP="0021768C">
      <w:pPr>
        <w:tabs>
          <w:tab w:val="left" w:pos="284"/>
        </w:tabs>
        <w:jc w:val="both"/>
      </w:pPr>
      <w:bookmarkStart w:id="16" w:name="_Hlk200546370"/>
      <w:r w:rsidRPr="003E59A5">
        <w:t xml:space="preserve">Лабораторія БІОЛЮЗ, </w:t>
      </w:r>
      <w:r w:rsidRPr="003E59A5">
        <w:rPr>
          <w:lang w:val="ru-RU"/>
        </w:rPr>
        <w:t>промислова зона ЖАЛЬДЕ, Сен-Жан-де-Люз, 64500 Франція.</w:t>
      </w:r>
      <w:bookmarkEnd w:id="16"/>
    </w:p>
    <w:p w14:paraId="57FC406D" w14:textId="77777777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6.7. Особливі заходи безпеки при поводженні з невикористаним засобом</w:t>
      </w:r>
    </w:p>
    <w:p w14:paraId="03406E64" w14:textId="64D1EF0D" w:rsidR="00841FFD" w:rsidRPr="003E59A5" w:rsidRDefault="00F60124" w:rsidP="0021768C">
      <w:pPr>
        <w:tabs>
          <w:tab w:val="left" w:pos="284"/>
        </w:tabs>
        <w:jc w:val="both"/>
      </w:pPr>
      <w:r w:rsidRPr="003E59A5">
        <w:t xml:space="preserve">Залишки </w:t>
      </w:r>
      <w:r w:rsidR="002B3F13" w:rsidRPr="003E59A5">
        <w:t xml:space="preserve">вакцини з </w:t>
      </w:r>
      <w:r w:rsidRPr="003E59A5">
        <w:t>розріджувач</w:t>
      </w:r>
      <w:r w:rsidR="002B3F13" w:rsidRPr="003E59A5">
        <w:t>ем</w:t>
      </w:r>
      <w:r w:rsidRPr="003E59A5">
        <w:t>, невикористаний та протермінований препарат разом з пакет</w:t>
      </w:r>
      <w:r w:rsidR="002B3F13" w:rsidRPr="003E59A5">
        <w:t xml:space="preserve">ами </w:t>
      </w:r>
      <w:r w:rsidRPr="003E59A5">
        <w:t>від такого засобу слід утилізувати відповідно до вимог</w:t>
      </w:r>
      <w:r w:rsidR="002B3F13" w:rsidRPr="003E59A5">
        <w:t xml:space="preserve"> </w:t>
      </w:r>
      <w:r w:rsidR="00DE6EE5" w:rsidRPr="00DE6EE5">
        <w:t xml:space="preserve">діючого законодавства </w:t>
      </w:r>
      <w:r w:rsidR="002B3F13" w:rsidRPr="003E59A5">
        <w:t>України</w:t>
      </w:r>
      <w:r w:rsidRPr="003E59A5">
        <w:t>.</w:t>
      </w:r>
    </w:p>
    <w:p w14:paraId="59D7AF2B" w14:textId="77777777" w:rsidR="00BE0685" w:rsidRPr="003E59A5" w:rsidRDefault="00BE0685" w:rsidP="0021768C">
      <w:pPr>
        <w:tabs>
          <w:tab w:val="left" w:pos="284"/>
        </w:tabs>
        <w:jc w:val="both"/>
      </w:pPr>
      <w:r w:rsidRPr="003E59A5">
        <w:rPr>
          <w:b/>
        </w:rPr>
        <w:t>6.8. Правила відпуску</w:t>
      </w:r>
    </w:p>
    <w:p w14:paraId="4267F158" w14:textId="77777777" w:rsidR="00BE0685" w:rsidRPr="003E59A5" w:rsidRDefault="00841FFD" w:rsidP="0021768C">
      <w:pPr>
        <w:tabs>
          <w:tab w:val="left" w:pos="284"/>
        </w:tabs>
        <w:jc w:val="both"/>
      </w:pPr>
      <w:r w:rsidRPr="003E59A5">
        <w:t>Без рецепта.</w:t>
      </w:r>
    </w:p>
    <w:p w14:paraId="28A29CF4" w14:textId="77777777" w:rsidR="00BE0685" w:rsidRPr="003E59A5" w:rsidRDefault="00BE0685" w:rsidP="0021768C">
      <w:pPr>
        <w:tabs>
          <w:tab w:val="left" w:pos="284"/>
        </w:tabs>
        <w:jc w:val="both"/>
        <w:rPr>
          <w:b/>
        </w:rPr>
      </w:pPr>
      <w:r w:rsidRPr="003E59A5">
        <w:rPr>
          <w:b/>
        </w:rPr>
        <w:t>7. Додаткова інформація</w:t>
      </w:r>
    </w:p>
    <w:p w14:paraId="28D2B370" w14:textId="0B170627" w:rsidR="00BE0685" w:rsidRPr="003E59A5" w:rsidRDefault="00BE0685" w:rsidP="00C86A3A">
      <w:pPr>
        <w:jc w:val="both"/>
      </w:pPr>
      <w:r w:rsidRPr="003E59A5">
        <w:t xml:space="preserve">Якщо препарат не відповідає вимогам листівки-вкладки або виникли ускладнення, застосування цієї серії негайно припиняють і повідомляють Державний науково-контрольний інститут біотехнології і штамів мікроорганізмів (ДНКІБШМ) та постачальника (виробника). Одночасно з посланцем у ДНКІБШМ направляють, відповідно до “Вказівки про порядок пред’явлення рекламацій на біологічні препарати, що призначені для застосування у ветеринарній медицині” від 03.06.98 № 2 три нерозкриті флакони цієї серії препарату за адресою: </w:t>
      </w:r>
      <w:smartTag w:uri="urn:schemas-microsoft-com:office:smarttags" w:element="metricconverter">
        <w:smartTagPr>
          <w:attr w:name="ProductID" w:val="03151, м"/>
        </w:smartTagPr>
        <w:r w:rsidRPr="003E59A5">
          <w:t>03151, м</w:t>
        </w:r>
      </w:smartTag>
      <w:r w:rsidRPr="003E59A5">
        <w:t>. Київ, вул. Донецька, 30, ДНКІБШМ.</w:t>
      </w:r>
    </w:p>
    <w:p w14:paraId="363A9646" w14:textId="77777777" w:rsidR="0006388A" w:rsidRPr="003E59A5" w:rsidRDefault="0006388A" w:rsidP="0021768C">
      <w:pPr>
        <w:jc w:val="both"/>
      </w:pPr>
    </w:p>
    <w:sectPr w:rsidR="0006388A" w:rsidRPr="003E59A5" w:rsidSect="00B84854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567" w:right="45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3676C" w14:textId="77777777" w:rsidR="003E620B" w:rsidRDefault="003E620B">
      <w:r>
        <w:separator/>
      </w:r>
    </w:p>
  </w:endnote>
  <w:endnote w:type="continuationSeparator" w:id="0">
    <w:p w14:paraId="1A3C0578" w14:textId="77777777" w:rsidR="003E620B" w:rsidRDefault="003E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00D0" w14:textId="77777777" w:rsidR="00493919" w:rsidRDefault="00493919" w:rsidP="00D06C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5DDD6" w14:textId="77777777" w:rsidR="00493919" w:rsidRDefault="00493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A6FA1" w14:textId="77777777" w:rsidR="00493919" w:rsidRDefault="00493919" w:rsidP="00D06C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485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E9234B" w14:textId="77777777" w:rsidR="00493919" w:rsidRDefault="00493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BE75" w14:textId="77777777" w:rsidR="003E620B" w:rsidRDefault="003E620B">
      <w:r>
        <w:separator/>
      </w:r>
    </w:p>
  </w:footnote>
  <w:footnote w:type="continuationSeparator" w:id="0">
    <w:p w14:paraId="17A66D48" w14:textId="77777777" w:rsidR="003E620B" w:rsidRDefault="003E6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2E415" w14:textId="77777777" w:rsidR="00985589" w:rsidRPr="008C76B8" w:rsidRDefault="00985589" w:rsidP="00985589">
    <w:pPr>
      <w:ind w:left="6720"/>
    </w:pPr>
    <w:r>
      <w:t>Продовження додат</w:t>
    </w:r>
    <w:r w:rsidRPr="008C76B8">
      <w:t>к</w:t>
    </w:r>
    <w:r>
      <w:t>у</w:t>
    </w:r>
    <w:r w:rsidRPr="008C76B8">
      <w:t xml:space="preserve"> 1</w:t>
    </w:r>
  </w:p>
  <w:p w14:paraId="34F4CEE6" w14:textId="77777777" w:rsidR="00985589" w:rsidRPr="008C76B8" w:rsidRDefault="00985589" w:rsidP="00985589">
    <w:pPr>
      <w:ind w:left="6720"/>
    </w:pPr>
    <w:r w:rsidRPr="008C76B8">
      <w:t>до реєстраційного посвідчення</w:t>
    </w:r>
  </w:p>
  <w:p w14:paraId="2EB21C28" w14:textId="77777777" w:rsidR="00985589" w:rsidRPr="008C76B8" w:rsidRDefault="00985589" w:rsidP="00985589">
    <w:pPr>
      <w:ind w:left="6720"/>
    </w:pPr>
    <w:r w:rsidRPr="008C76B8">
      <w:t xml:space="preserve">№ </w:t>
    </w:r>
    <w:r>
      <w:t>ВА-00950-02-19</w:t>
    </w:r>
  </w:p>
  <w:p w14:paraId="01EEF2C4" w14:textId="77777777" w:rsidR="00985589" w:rsidRPr="008C76B8" w:rsidRDefault="00985589" w:rsidP="00985589">
    <w:pPr>
      <w:ind w:left="6720"/>
    </w:pPr>
    <w:r w:rsidRPr="008C76B8">
      <w:t xml:space="preserve">від </w:t>
    </w:r>
  </w:p>
  <w:p w14:paraId="46E40093" w14:textId="77777777" w:rsidR="00985589" w:rsidRDefault="00985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46A1" w14:textId="77777777" w:rsidR="00985589" w:rsidRPr="008C76B8" w:rsidRDefault="00985589" w:rsidP="00985589">
    <w:pPr>
      <w:ind w:left="6720"/>
    </w:pPr>
    <w:r w:rsidRPr="008C76B8">
      <w:t>Додаток 1</w:t>
    </w:r>
  </w:p>
  <w:p w14:paraId="20DD68B4" w14:textId="77777777" w:rsidR="00985589" w:rsidRPr="008C76B8" w:rsidRDefault="00985589" w:rsidP="00985589">
    <w:pPr>
      <w:ind w:left="6720"/>
    </w:pPr>
    <w:r w:rsidRPr="008C76B8">
      <w:t>до реєстраційного посвідчення</w:t>
    </w:r>
  </w:p>
  <w:p w14:paraId="69068F8A" w14:textId="77777777" w:rsidR="00985589" w:rsidRPr="008C76B8" w:rsidRDefault="00985589" w:rsidP="00985589">
    <w:pPr>
      <w:ind w:left="6720"/>
    </w:pPr>
    <w:r w:rsidRPr="008C76B8">
      <w:t xml:space="preserve">№ </w:t>
    </w:r>
    <w:r>
      <w:t>ВА-00950-02-19</w:t>
    </w:r>
  </w:p>
  <w:p w14:paraId="3BBD8C48" w14:textId="77777777" w:rsidR="00985589" w:rsidRPr="008C76B8" w:rsidRDefault="00985589" w:rsidP="00985589">
    <w:pPr>
      <w:ind w:left="6720"/>
    </w:pPr>
    <w:r w:rsidRPr="008C76B8">
      <w:t xml:space="preserve">від </w:t>
    </w:r>
  </w:p>
  <w:p w14:paraId="71BB7640" w14:textId="77777777" w:rsidR="00985589" w:rsidRDefault="00985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E3DFF"/>
    <w:multiLevelType w:val="hybridMultilevel"/>
    <w:tmpl w:val="13EA429A"/>
    <w:lvl w:ilvl="0" w:tplc="4D24E05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40409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85"/>
    <w:rsid w:val="00007339"/>
    <w:rsid w:val="00016883"/>
    <w:rsid w:val="00023A0E"/>
    <w:rsid w:val="0006388A"/>
    <w:rsid w:val="00095014"/>
    <w:rsid w:val="000B4C12"/>
    <w:rsid w:val="000C72B2"/>
    <w:rsid w:val="000C7FAE"/>
    <w:rsid w:val="000E6551"/>
    <w:rsid w:val="00181FDB"/>
    <w:rsid w:val="001A59E9"/>
    <w:rsid w:val="001B7438"/>
    <w:rsid w:val="001E40E4"/>
    <w:rsid w:val="00207426"/>
    <w:rsid w:val="0021768C"/>
    <w:rsid w:val="00226FAD"/>
    <w:rsid w:val="00230560"/>
    <w:rsid w:val="00243C5D"/>
    <w:rsid w:val="00250190"/>
    <w:rsid w:val="00271C85"/>
    <w:rsid w:val="002756E2"/>
    <w:rsid w:val="002B3F13"/>
    <w:rsid w:val="002F154F"/>
    <w:rsid w:val="002F16D7"/>
    <w:rsid w:val="0033203D"/>
    <w:rsid w:val="00356FAD"/>
    <w:rsid w:val="00372C46"/>
    <w:rsid w:val="00373A4D"/>
    <w:rsid w:val="00397B34"/>
    <w:rsid w:val="003A4AF3"/>
    <w:rsid w:val="003E59A5"/>
    <w:rsid w:val="003E620B"/>
    <w:rsid w:val="00432154"/>
    <w:rsid w:val="00467D72"/>
    <w:rsid w:val="004774F4"/>
    <w:rsid w:val="00493919"/>
    <w:rsid w:val="004A7BDF"/>
    <w:rsid w:val="004E1BB1"/>
    <w:rsid w:val="004E4081"/>
    <w:rsid w:val="004F01CB"/>
    <w:rsid w:val="00537D3E"/>
    <w:rsid w:val="00543CCA"/>
    <w:rsid w:val="0056463F"/>
    <w:rsid w:val="0059207C"/>
    <w:rsid w:val="005B5F26"/>
    <w:rsid w:val="005D2247"/>
    <w:rsid w:val="005D668E"/>
    <w:rsid w:val="005E1AEF"/>
    <w:rsid w:val="005F1F92"/>
    <w:rsid w:val="005F2A3C"/>
    <w:rsid w:val="005F43F4"/>
    <w:rsid w:val="005F775C"/>
    <w:rsid w:val="006149AA"/>
    <w:rsid w:val="006157AA"/>
    <w:rsid w:val="00647D36"/>
    <w:rsid w:val="006837F3"/>
    <w:rsid w:val="006D1805"/>
    <w:rsid w:val="006D728C"/>
    <w:rsid w:val="006F12E7"/>
    <w:rsid w:val="0072369D"/>
    <w:rsid w:val="00723D4C"/>
    <w:rsid w:val="00737555"/>
    <w:rsid w:val="00770680"/>
    <w:rsid w:val="00770764"/>
    <w:rsid w:val="007C63AC"/>
    <w:rsid w:val="007E0888"/>
    <w:rsid w:val="007E7DD8"/>
    <w:rsid w:val="008127C6"/>
    <w:rsid w:val="00813659"/>
    <w:rsid w:val="008153E5"/>
    <w:rsid w:val="00833D03"/>
    <w:rsid w:val="00841FFD"/>
    <w:rsid w:val="00857869"/>
    <w:rsid w:val="008A22C2"/>
    <w:rsid w:val="008B46AF"/>
    <w:rsid w:val="008C76B8"/>
    <w:rsid w:val="008F3C37"/>
    <w:rsid w:val="00946023"/>
    <w:rsid w:val="009731DD"/>
    <w:rsid w:val="00984193"/>
    <w:rsid w:val="00985589"/>
    <w:rsid w:val="00993057"/>
    <w:rsid w:val="009D181E"/>
    <w:rsid w:val="009E1AA2"/>
    <w:rsid w:val="00A34E66"/>
    <w:rsid w:val="00A36681"/>
    <w:rsid w:val="00A70FD1"/>
    <w:rsid w:val="00A731B0"/>
    <w:rsid w:val="00AF1EA6"/>
    <w:rsid w:val="00B00660"/>
    <w:rsid w:val="00B05885"/>
    <w:rsid w:val="00B4057E"/>
    <w:rsid w:val="00B8059D"/>
    <w:rsid w:val="00B84854"/>
    <w:rsid w:val="00BB5069"/>
    <w:rsid w:val="00BC0E7F"/>
    <w:rsid w:val="00BC3C8F"/>
    <w:rsid w:val="00BE0685"/>
    <w:rsid w:val="00C50F00"/>
    <w:rsid w:val="00C51699"/>
    <w:rsid w:val="00C62A9C"/>
    <w:rsid w:val="00C72E5F"/>
    <w:rsid w:val="00C86A3A"/>
    <w:rsid w:val="00C873F9"/>
    <w:rsid w:val="00CF51C1"/>
    <w:rsid w:val="00D06C30"/>
    <w:rsid w:val="00D1156E"/>
    <w:rsid w:val="00D7034B"/>
    <w:rsid w:val="00DE0EEE"/>
    <w:rsid w:val="00DE6EE5"/>
    <w:rsid w:val="00DF16FD"/>
    <w:rsid w:val="00E02D78"/>
    <w:rsid w:val="00E256C9"/>
    <w:rsid w:val="00E80802"/>
    <w:rsid w:val="00EB68AA"/>
    <w:rsid w:val="00EE5007"/>
    <w:rsid w:val="00F05A6D"/>
    <w:rsid w:val="00F16A40"/>
    <w:rsid w:val="00F321DA"/>
    <w:rsid w:val="00F4317D"/>
    <w:rsid w:val="00F60124"/>
    <w:rsid w:val="00F81AB0"/>
    <w:rsid w:val="00F83333"/>
    <w:rsid w:val="00F91A29"/>
    <w:rsid w:val="00F93BAD"/>
    <w:rsid w:val="00FA2B7D"/>
    <w:rsid w:val="00FB5051"/>
    <w:rsid w:val="00FB68DB"/>
    <w:rsid w:val="00FC5D07"/>
    <w:rsid w:val="00FD41B2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9A08E9"/>
  <w15:chartTrackingRefBased/>
  <w15:docId w15:val="{DFD213B4-3045-4600-A176-88F47B4E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685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rsid w:val="00BE0685"/>
    <w:pPr>
      <w:widowControl w:val="0"/>
      <w:autoSpaceDE w:val="0"/>
      <w:autoSpaceDN w:val="0"/>
      <w:adjustRightInd w:val="0"/>
      <w:spacing w:line="278" w:lineRule="exact"/>
      <w:jc w:val="both"/>
    </w:pPr>
    <w:rPr>
      <w:lang w:val="ru-RU"/>
    </w:rPr>
  </w:style>
  <w:style w:type="paragraph" w:customStyle="1" w:styleId="Style7">
    <w:name w:val="Style7"/>
    <w:basedOn w:val="Normal"/>
    <w:rsid w:val="00BE0685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Arial Narrow" w:hAnsi="Arial Narrow"/>
      <w:lang w:val="ru-RU"/>
    </w:rPr>
  </w:style>
  <w:style w:type="paragraph" w:customStyle="1" w:styleId="Style3">
    <w:name w:val="Style3"/>
    <w:basedOn w:val="Normal"/>
    <w:rsid w:val="00BE0685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5">
    <w:name w:val="Font Style15"/>
    <w:rsid w:val="00BE0685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rsid w:val="00BE0685"/>
    <w:rPr>
      <w:rFonts w:ascii="Times New Roman" w:hAnsi="Times New Roman" w:cs="Times New Roman" w:hint="default"/>
      <w:sz w:val="20"/>
      <w:szCs w:val="20"/>
    </w:rPr>
  </w:style>
  <w:style w:type="character" w:customStyle="1" w:styleId="hps">
    <w:name w:val="hps"/>
    <w:basedOn w:val="DefaultParagraphFont"/>
    <w:rsid w:val="00BE0685"/>
  </w:style>
  <w:style w:type="paragraph" w:customStyle="1" w:styleId="msonormalcxspmiddle">
    <w:name w:val="msonormalcxspmiddle"/>
    <w:basedOn w:val="Normal"/>
    <w:rsid w:val="00BE0685"/>
    <w:pPr>
      <w:spacing w:before="100" w:beforeAutospacing="1" w:after="100" w:afterAutospacing="1"/>
    </w:pPr>
    <w:rPr>
      <w:lang w:val="ru-RU"/>
    </w:rPr>
  </w:style>
  <w:style w:type="paragraph" w:styleId="Footer">
    <w:name w:val="footer"/>
    <w:basedOn w:val="Normal"/>
    <w:rsid w:val="0049391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93919"/>
  </w:style>
  <w:style w:type="paragraph" w:styleId="Header">
    <w:name w:val="header"/>
    <w:basedOn w:val="Normal"/>
    <w:link w:val="HeaderChar"/>
    <w:rsid w:val="009855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85589"/>
    <w:rPr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985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85589"/>
    <w:rPr>
      <w:rFonts w:ascii="Segoe UI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1A59E9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9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2</Pages>
  <Words>539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Romashkan,Neonila (AH RA_PV_CO) BI-UA-K</cp:lastModifiedBy>
  <cp:revision>28</cp:revision>
  <cp:lastPrinted>2025-06-20T07:05:00Z</cp:lastPrinted>
  <dcterms:created xsi:type="dcterms:W3CDTF">2024-02-14T12:09:00Z</dcterms:created>
  <dcterms:modified xsi:type="dcterms:W3CDTF">2025-06-20T07:07:00Z</dcterms:modified>
</cp:coreProperties>
</file>