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EAF6" w14:textId="77777777" w:rsidR="0030737C" w:rsidRPr="004D2453" w:rsidRDefault="0030737C" w:rsidP="0030737C">
      <w:pPr>
        <w:pStyle w:val="Heading1"/>
        <w:ind w:left="6660"/>
        <w:jc w:val="left"/>
        <w:rPr>
          <w:b w:val="0"/>
          <w:sz w:val="24"/>
          <w:szCs w:val="24"/>
        </w:rPr>
      </w:pPr>
      <w:r w:rsidRPr="004D2453">
        <w:rPr>
          <w:b w:val="0"/>
          <w:sz w:val="24"/>
          <w:szCs w:val="24"/>
        </w:rPr>
        <w:t>Додаток 1</w:t>
      </w:r>
    </w:p>
    <w:p w14:paraId="5590B310" w14:textId="77777777" w:rsidR="0030737C" w:rsidRPr="004D2453" w:rsidRDefault="0030737C" w:rsidP="0030737C">
      <w:pPr>
        <w:ind w:left="6660"/>
      </w:pPr>
      <w:r w:rsidRPr="004D2453">
        <w:t>до реєстраційного посвідчення</w:t>
      </w:r>
    </w:p>
    <w:p w14:paraId="2B324288" w14:textId="77777777" w:rsidR="0030737C" w:rsidRPr="004D2453" w:rsidRDefault="0030737C" w:rsidP="0030737C">
      <w:pPr>
        <w:ind w:left="6660"/>
      </w:pPr>
      <w:r w:rsidRPr="004D2453">
        <w:t>№ ВА-00780-02-15</w:t>
      </w:r>
    </w:p>
    <w:p w14:paraId="422F2D74" w14:textId="77777777" w:rsidR="0030737C" w:rsidRPr="004D2453" w:rsidRDefault="0030737C" w:rsidP="0030737C">
      <w:pPr>
        <w:ind w:left="6660"/>
      </w:pPr>
      <w:r w:rsidRPr="004D2453">
        <w:t xml:space="preserve">від </w:t>
      </w:r>
    </w:p>
    <w:p w14:paraId="26EF9103" w14:textId="77777777" w:rsidR="0030737C" w:rsidRPr="004D2453" w:rsidRDefault="0030737C" w:rsidP="0030737C">
      <w:pPr>
        <w:ind w:left="6660"/>
      </w:pPr>
    </w:p>
    <w:p w14:paraId="4F9AD9B6" w14:textId="77777777" w:rsidR="0030737C" w:rsidRPr="004D2453" w:rsidRDefault="0030737C" w:rsidP="0030737C">
      <w:pPr>
        <w:jc w:val="center"/>
        <w:rPr>
          <w:b/>
          <w:bCs/>
        </w:rPr>
      </w:pPr>
      <w:r w:rsidRPr="004D2453">
        <w:rPr>
          <w:b/>
          <w:bCs/>
        </w:rPr>
        <w:t>Коротка характеристика препарату</w:t>
      </w:r>
    </w:p>
    <w:p w14:paraId="029EE8BF" w14:textId="77777777" w:rsidR="0030737C" w:rsidRPr="004D2453" w:rsidRDefault="0030737C" w:rsidP="0030737C">
      <w:pPr>
        <w:jc w:val="center"/>
        <w:rPr>
          <w:b/>
          <w:bCs/>
        </w:rPr>
      </w:pPr>
    </w:p>
    <w:p w14:paraId="2553A1C2" w14:textId="77777777" w:rsidR="0030737C" w:rsidRPr="004D2453" w:rsidRDefault="0030737C" w:rsidP="0030737C">
      <w:pPr>
        <w:jc w:val="both"/>
        <w:rPr>
          <w:rStyle w:val="longtext"/>
          <w:b/>
          <w:shd w:val="clear" w:color="auto" w:fill="FFFFFF"/>
        </w:rPr>
      </w:pPr>
      <w:r w:rsidRPr="004D2453">
        <w:rPr>
          <w:b/>
        </w:rPr>
        <w:t xml:space="preserve">1. </w:t>
      </w:r>
      <w:r w:rsidRPr="004D2453">
        <w:rPr>
          <w:rStyle w:val="longtext"/>
          <w:b/>
          <w:shd w:val="clear" w:color="auto" w:fill="FFFFFF"/>
        </w:rPr>
        <w:t>Назва ветеринарного препарату</w:t>
      </w:r>
    </w:p>
    <w:p w14:paraId="14715610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rPr>
          <w:rFonts w:eastAsia="Times New Roman"/>
          <w:lang w:eastAsia="en-US"/>
        </w:rPr>
        <w:t>РепроЦик</w:t>
      </w:r>
      <w:r w:rsidRPr="004D2453">
        <w:rPr>
          <w:rFonts w:eastAsia="Times New Roman"/>
          <w:vertAlign w:val="superscript"/>
          <w:lang w:eastAsia="en-US"/>
        </w:rPr>
        <w:t>®</w:t>
      </w:r>
      <w:r w:rsidR="004D2453" w:rsidRPr="004D2453">
        <w:rPr>
          <w:rFonts w:eastAsia="Times New Roman"/>
          <w:vertAlign w:val="superscript"/>
          <w:lang w:eastAsia="en-US"/>
        </w:rPr>
        <w:t xml:space="preserve"> </w:t>
      </w:r>
      <w:r w:rsidRPr="004D2453">
        <w:t>РРСС</w:t>
      </w:r>
      <w:r w:rsidR="00971C31">
        <w:t xml:space="preserve"> </w:t>
      </w:r>
      <w:r w:rsidRPr="004D2453">
        <w:rPr>
          <w:rFonts w:eastAsia="Times New Roman"/>
          <w:lang w:eastAsia="en-US"/>
        </w:rPr>
        <w:t>ЄС</w:t>
      </w:r>
      <w:r w:rsidR="00AC201B">
        <w:rPr>
          <w:rFonts w:eastAsia="Times New Roman"/>
          <w:lang w:eastAsia="en-US"/>
        </w:rPr>
        <w:t xml:space="preserve"> </w:t>
      </w:r>
      <w:r w:rsidRPr="004D2453">
        <w:rPr>
          <w:rFonts w:eastAsia="Times New Roman"/>
          <w:lang w:eastAsia="en-US"/>
        </w:rPr>
        <w:t xml:space="preserve">– </w:t>
      </w:r>
      <w:r w:rsidRPr="004D2453">
        <w:t>вакцина жива ліофілізована з розчинником ІмпранФЛЕКС проти репродуктивно-респіраторного синдрому свиней.</w:t>
      </w:r>
    </w:p>
    <w:p w14:paraId="5AFF7256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Style w:val="longtext"/>
          <w:b/>
          <w:shd w:val="clear" w:color="auto" w:fill="FFFFFF"/>
        </w:rPr>
      </w:pPr>
      <w:r w:rsidRPr="004D2453">
        <w:rPr>
          <w:b/>
        </w:rPr>
        <w:t xml:space="preserve">2. </w:t>
      </w:r>
      <w:r w:rsidRPr="004D2453">
        <w:rPr>
          <w:rStyle w:val="longtext"/>
          <w:b/>
          <w:shd w:val="clear" w:color="auto" w:fill="FFFFFF"/>
        </w:rPr>
        <w:t>Якісний і кількісний склад</w:t>
      </w:r>
    </w:p>
    <w:p w14:paraId="14D234DF" w14:textId="5F42D5E8" w:rsidR="0030737C" w:rsidRPr="004D2453" w:rsidRDefault="0030737C" w:rsidP="0030737C">
      <w:pPr>
        <w:ind w:left="709" w:hanging="709"/>
        <w:jc w:val="both"/>
        <w:rPr>
          <w:i/>
          <w:lang w:eastAsia="en-US"/>
        </w:rPr>
      </w:pPr>
      <w:r w:rsidRPr="004D2453">
        <w:rPr>
          <w:lang w:eastAsia="en-US"/>
        </w:rPr>
        <w:t xml:space="preserve">Одна доза вакцини </w:t>
      </w:r>
      <w:r w:rsidRPr="004D2453">
        <w:t xml:space="preserve">2 </w:t>
      </w:r>
      <w:r w:rsidR="007729E9">
        <w:t>мл</w:t>
      </w:r>
      <w:r w:rsidR="007729E9" w:rsidRPr="004D2453">
        <w:rPr>
          <w:vertAlign w:val="superscript"/>
        </w:rPr>
        <w:t xml:space="preserve"> </w:t>
      </w:r>
      <w:r w:rsidRPr="004D2453">
        <w:t>містить:</w:t>
      </w:r>
    </w:p>
    <w:p w14:paraId="5F430A81" w14:textId="77777777" w:rsidR="0030737C" w:rsidRPr="004D2453" w:rsidRDefault="0030737C" w:rsidP="0030737C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 w:rsidRPr="004D2453">
        <w:rPr>
          <w:bCs/>
        </w:rPr>
        <w:t>живий атенуйований</w:t>
      </w:r>
      <w:r w:rsidR="003651FA">
        <w:rPr>
          <w:bCs/>
        </w:rPr>
        <w:t xml:space="preserve"> </w:t>
      </w:r>
      <w:r w:rsidRPr="004D2453">
        <w:t xml:space="preserve">вірус репродуктивно-респіраторного синдрому свиней, </w:t>
      </w:r>
    </w:p>
    <w:p w14:paraId="29F6D93F" w14:textId="77777777" w:rsidR="0030737C" w:rsidRPr="004D2453" w:rsidRDefault="0030737C" w:rsidP="0030737C">
      <w:pPr>
        <w:pStyle w:val="ListParagraph"/>
        <w:ind w:left="420"/>
        <w:jc w:val="both"/>
        <w:rPr>
          <w:lang w:eastAsia="en-US"/>
        </w:rPr>
      </w:pPr>
      <w:r w:rsidRPr="004D2453">
        <w:t xml:space="preserve">штам </w:t>
      </w:r>
      <w:r w:rsidRPr="004D2453">
        <w:rPr>
          <w:lang w:eastAsia="en-US"/>
        </w:rPr>
        <w:t>94881</w:t>
      </w:r>
      <w:r w:rsidR="003651FA">
        <w:rPr>
          <w:lang w:eastAsia="en-US"/>
        </w:rPr>
        <w:t xml:space="preserve"> </w:t>
      </w:r>
      <w:r w:rsidRPr="004D2453">
        <w:rPr>
          <w:lang w:eastAsia="en-US"/>
        </w:rPr>
        <w:t>(генотип 1):</w:t>
      </w:r>
      <w:r w:rsidR="005B69C4">
        <w:rPr>
          <w:lang w:eastAsia="en-US"/>
        </w:rPr>
        <w:t xml:space="preserve"> </w:t>
      </w:r>
      <w:r w:rsidRPr="004D2453">
        <w:rPr>
          <w:lang w:eastAsia="en-US"/>
        </w:rPr>
        <w:t>10</w:t>
      </w:r>
      <w:r w:rsidRPr="004D2453">
        <w:rPr>
          <w:position w:val="4"/>
          <w:vertAlign w:val="superscript"/>
          <w:lang w:eastAsia="en-US"/>
        </w:rPr>
        <w:t xml:space="preserve">3,9 </w:t>
      </w:r>
      <w:r w:rsidRPr="004D2453">
        <w:rPr>
          <w:lang w:eastAsia="en-US"/>
        </w:rPr>
        <w:t>TCID</w:t>
      </w:r>
      <w:r w:rsidRPr="004D2453">
        <w:rPr>
          <w:position w:val="-4"/>
          <w:vertAlign w:val="subscript"/>
          <w:lang w:eastAsia="en-US"/>
        </w:rPr>
        <w:t>50</w:t>
      </w:r>
      <w:r w:rsidRPr="004D2453">
        <w:rPr>
          <w:position w:val="-4"/>
          <w:vertAlign w:val="superscript"/>
          <w:lang w:eastAsia="en-US"/>
        </w:rPr>
        <w:t>–</w:t>
      </w:r>
      <w:r w:rsidRPr="004D2453">
        <w:rPr>
          <w:lang w:eastAsia="en-US"/>
        </w:rPr>
        <w:t>10</w:t>
      </w:r>
      <w:r w:rsidRPr="004D2453">
        <w:rPr>
          <w:position w:val="4"/>
          <w:vertAlign w:val="superscript"/>
          <w:lang w:eastAsia="en-US"/>
        </w:rPr>
        <w:t>7,0</w:t>
      </w:r>
      <w:r w:rsidRPr="004D2453">
        <w:rPr>
          <w:lang w:eastAsia="en-US"/>
        </w:rPr>
        <w:t>TCID</w:t>
      </w:r>
      <w:r w:rsidRPr="004D2453">
        <w:rPr>
          <w:position w:val="-4"/>
          <w:vertAlign w:val="subscript"/>
          <w:lang w:eastAsia="en-US"/>
        </w:rPr>
        <w:t>50</w:t>
      </w:r>
    </w:p>
    <w:p w14:paraId="7DF90C51" w14:textId="77777777" w:rsidR="0030737C" w:rsidRPr="004D2453" w:rsidRDefault="0030737C" w:rsidP="0030737C">
      <w:pPr>
        <w:jc w:val="both"/>
        <w:rPr>
          <w:i/>
        </w:rPr>
      </w:pPr>
      <w:r w:rsidRPr="004D2453">
        <w:rPr>
          <w:i/>
        </w:rPr>
        <w:t>Допоміжні речовини:</w:t>
      </w:r>
    </w:p>
    <w:p w14:paraId="565A75BD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t>Сахарозо-желатиновий стабілізатор (SGS)</w:t>
      </w:r>
      <w:r w:rsidR="00E9592C">
        <w:rPr>
          <w:lang w:val="en-US"/>
        </w:rPr>
        <w:t> </w:t>
      </w:r>
      <w:r w:rsidRPr="004D2453">
        <w:rPr>
          <w:rFonts w:eastAsia="SimSun"/>
        </w:rPr>
        <w:t>25% v/v ± 2%</w:t>
      </w:r>
    </w:p>
    <w:p w14:paraId="6763A64E" w14:textId="1A66BB9E" w:rsidR="0030737C" w:rsidRPr="004D2453" w:rsidRDefault="0030737C" w:rsidP="0030737C">
      <w:pPr>
        <w:jc w:val="both"/>
        <w:rPr>
          <w:rFonts w:eastAsia="Times New Roman"/>
          <w:lang w:eastAsia="en-US"/>
        </w:rPr>
      </w:pPr>
      <w:r w:rsidRPr="004D2453">
        <w:t xml:space="preserve">Фізіологічний розчин хлориду натрію до утворення об’єму 2 </w:t>
      </w:r>
      <w:r w:rsidR="007729E9">
        <w:t>мл</w:t>
      </w:r>
      <w:r w:rsidRPr="004D2453">
        <w:t>.</w:t>
      </w:r>
    </w:p>
    <w:p w14:paraId="74EFE596" w14:textId="77935C91" w:rsidR="0030737C" w:rsidRPr="004D2453" w:rsidRDefault="0030737C" w:rsidP="0030737C">
      <w:pPr>
        <w:ind w:left="709" w:hanging="709"/>
        <w:jc w:val="both"/>
      </w:pPr>
      <w:r w:rsidRPr="004D2453">
        <w:rPr>
          <w:i/>
        </w:rPr>
        <w:t>Розчинник:</w:t>
      </w:r>
      <w:r w:rsidRPr="004D2453">
        <w:t xml:space="preserve"> ІмпранФЛЕКС</w:t>
      </w:r>
      <w:r w:rsidRPr="004D2453">
        <w:rPr>
          <w:rFonts w:eastAsia="Times New Roman"/>
          <w:lang w:eastAsia="en-US"/>
        </w:rPr>
        <w:t xml:space="preserve"> для розчинення вакцини (на одну дозу об’ємом </w:t>
      </w:r>
      <w:r w:rsidRPr="004D2453">
        <w:t xml:space="preserve">2 </w:t>
      </w:r>
      <w:r w:rsidR="007729E9">
        <w:t>мл</w:t>
      </w:r>
      <w:r w:rsidRPr="004D2453">
        <w:t>):</w:t>
      </w:r>
    </w:p>
    <w:p w14:paraId="324790DF" w14:textId="77777777" w:rsidR="0030737C" w:rsidRPr="004D2453" w:rsidRDefault="0030737C" w:rsidP="0030737C">
      <w:pPr>
        <w:jc w:val="both"/>
        <w:rPr>
          <w:rFonts w:eastAsia="SimSun"/>
          <w:lang w:eastAsia="en-US"/>
        </w:rPr>
      </w:pPr>
      <w:r w:rsidRPr="004D2453">
        <w:t xml:space="preserve">Хлорид натрію </w:t>
      </w:r>
      <w:r w:rsidRPr="004D2453">
        <w:rPr>
          <w:rFonts w:eastAsia="SimSun"/>
          <w:lang w:eastAsia="en-US"/>
        </w:rPr>
        <w:t>12,8 мг</w:t>
      </w:r>
    </w:p>
    <w:p w14:paraId="7E8D8BB5" w14:textId="77777777" w:rsidR="0030737C" w:rsidRPr="004D2453" w:rsidRDefault="0030737C" w:rsidP="0030737C">
      <w:pPr>
        <w:jc w:val="both"/>
      </w:pPr>
      <w:r w:rsidRPr="004D2453">
        <w:t xml:space="preserve">Калію хлорид </w:t>
      </w:r>
      <w:r w:rsidRPr="004D2453">
        <w:rPr>
          <w:lang w:eastAsia="en-GB"/>
        </w:rPr>
        <w:t>0,32 мг</w:t>
      </w:r>
    </w:p>
    <w:p w14:paraId="173590A6" w14:textId="77777777" w:rsidR="0030737C" w:rsidRPr="004D2453" w:rsidRDefault="0030737C" w:rsidP="0030737C">
      <w:pPr>
        <w:jc w:val="both"/>
      </w:pPr>
      <w:r w:rsidRPr="004D2453">
        <w:t xml:space="preserve">Динатрію гідрофосфат безводний </w:t>
      </w:r>
      <w:r w:rsidRPr="004D2453">
        <w:rPr>
          <w:lang w:eastAsia="en-GB"/>
        </w:rPr>
        <w:t>1,84 мг</w:t>
      </w:r>
    </w:p>
    <w:p w14:paraId="7CFAE760" w14:textId="77777777" w:rsidR="0030737C" w:rsidRPr="004D2453" w:rsidRDefault="0030737C" w:rsidP="0030737C">
      <w:pPr>
        <w:tabs>
          <w:tab w:val="left" w:pos="8222"/>
          <w:tab w:val="left" w:pos="8789"/>
        </w:tabs>
        <w:autoSpaceDE w:val="0"/>
        <w:autoSpaceDN w:val="0"/>
        <w:adjustRightInd w:val="0"/>
        <w:jc w:val="both"/>
        <w:rPr>
          <w:lang w:eastAsia="en-GB"/>
        </w:rPr>
      </w:pPr>
      <w:r w:rsidRPr="004D2453">
        <w:t xml:space="preserve">Калію дигідрофосфат </w:t>
      </w:r>
      <w:r w:rsidRPr="004D2453">
        <w:rPr>
          <w:lang w:eastAsia="en-GB"/>
        </w:rPr>
        <w:t>0,32 мг</w:t>
      </w:r>
    </w:p>
    <w:p w14:paraId="408B3B1F" w14:textId="77777777" w:rsidR="0030737C" w:rsidRPr="004D2453" w:rsidRDefault="0030737C" w:rsidP="0030737C">
      <w:pPr>
        <w:tabs>
          <w:tab w:val="left" w:pos="8222"/>
          <w:tab w:val="left" w:pos="8789"/>
        </w:tabs>
        <w:autoSpaceDE w:val="0"/>
        <w:autoSpaceDN w:val="0"/>
        <w:adjustRightInd w:val="0"/>
        <w:jc w:val="both"/>
        <w:rPr>
          <w:lang w:eastAsia="en-GB"/>
        </w:rPr>
      </w:pPr>
      <w:r w:rsidRPr="004D2453">
        <w:rPr>
          <w:lang w:eastAsia="en-GB"/>
        </w:rPr>
        <w:t>Карбомер 2,0 мг</w:t>
      </w:r>
    </w:p>
    <w:p w14:paraId="3867E7CF" w14:textId="0A23335B" w:rsidR="0030737C" w:rsidRPr="004D2453" w:rsidRDefault="0030737C" w:rsidP="0030737C">
      <w:pPr>
        <w:tabs>
          <w:tab w:val="left" w:pos="8222"/>
          <w:tab w:val="left" w:pos="8789"/>
        </w:tabs>
        <w:autoSpaceDE w:val="0"/>
        <w:autoSpaceDN w:val="0"/>
        <w:adjustRightInd w:val="0"/>
        <w:jc w:val="both"/>
        <w:rPr>
          <w:lang w:eastAsia="en-GB"/>
        </w:rPr>
      </w:pPr>
      <w:r w:rsidRPr="004D2453">
        <w:rPr>
          <w:lang w:eastAsia="en-GB"/>
        </w:rPr>
        <w:t xml:space="preserve">Вода для ін’єкції до утворення об’єму 2 </w:t>
      </w:r>
      <w:r w:rsidR="007729E9">
        <w:t>мл</w:t>
      </w:r>
      <w:r w:rsidRPr="004D2453">
        <w:t>.</w:t>
      </w:r>
    </w:p>
    <w:p w14:paraId="0534B7FC" w14:textId="77777777" w:rsidR="0030737C" w:rsidRPr="004D2453" w:rsidRDefault="0030737C" w:rsidP="0030737C">
      <w:pPr>
        <w:jc w:val="both"/>
        <w:rPr>
          <w:rStyle w:val="longtext"/>
          <w:b/>
        </w:rPr>
      </w:pPr>
      <w:r w:rsidRPr="004D2453">
        <w:rPr>
          <w:b/>
        </w:rPr>
        <w:t>3. Фармацевтична</w:t>
      </w:r>
      <w:r w:rsidRPr="004D2453">
        <w:rPr>
          <w:rStyle w:val="longtext"/>
          <w:b/>
        </w:rPr>
        <w:t xml:space="preserve"> форма</w:t>
      </w:r>
    </w:p>
    <w:p w14:paraId="5282F279" w14:textId="77777777" w:rsidR="0030737C" w:rsidRPr="004D2453" w:rsidRDefault="0030737C" w:rsidP="0030737C">
      <w:pPr>
        <w:jc w:val="both"/>
      </w:pPr>
      <w:r w:rsidRPr="004D2453">
        <w:rPr>
          <w:rStyle w:val="hps"/>
        </w:rPr>
        <w:t>Ліофілізат та розчинник</w:t>
      </w:r>
      <w:r w:rsidRPr="004D2453">
        <w:t>.</w:t>
      </w:r>
    </w:p>
    <w:p w14:paraId="049CE114" w14:textId="77777777" w:rsidR="0030737C" w:rsidRPr="004D2453" w:rsidRDefault="0030737C" w:rsidP="0030737C">
      <w:pPr>
        <w:jc w:val="both"/>
        <w:rPr>
          <w:rStyle w:val="longtext"/>
          <w:b/>
        </w:rPr>
      </w:pPr>
      <w:r w:rsidRPr="004D2453">
        <w:rPr>
          <w:b/>
        </w:rPr>
        <w:t xml:space="preserve">4. </w:t>
      </w:r>
      <w:r w:rsidRPr="004D2453">
        <w:rPr>
          <w:rStyle w:val="longtext"/>
          <w:b/>
        </w:rPr>
        <w:t>Імунобіологічні властивості</w:t>
      </w:r>
    </w:p>
    <w:p w14:paraId="11737CEF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rPr>
          <w:shd w:val="clear" w:color="auto" w:fill="FFFFFF"/>
        </w:rPr>
        <w:t xml:space="preserve">Вакцина </w:t>
      </w:r>
      <w:r w:rsidRPr="004D2453">
        <w:rPr>
          <w:spacing w:val="1"/>
        </w:rPr>
        <w:t xml:space="preserve">призначена для стимуляції розвитку імунної відповіді до вірусу </w:t>
      </w:r>
      <w:r w:rsidRPr="004D2453">
        <w:t xml:space="preserve">репродуктивно-респіраторного синдрому </w:t>
      </w:r>
      <w:r w:rsidRPr="004D2453">
        <w:rPr>
          <w:spacing w:val="1"/>
        </w:rPr>
        <w:t>свиней.</w:t>
      </w:r>
    </w:p>
    <w:p w14:paraId="168C86F0" w14:textId="77777777" w:rsidR="0030737C" w:rsidRPr="004D2453" w:rsidRDefault="0030737C" w:rsidP="0030737C">
      <w:pPr>
        <w:jc w:val="both"/>
        <w:rPr>
          <w:rStyle w:val="longtext"/>
          <w:b/>
        </w:rPr>
      </w:pPr>
      <w:r w:rsidRPr="004D2453">
        <w:t xml:space="preserve">Вакцина забезпечує формування імунітету через </w:t>
      </w:r>
      <w:r w:rsidR="00E9592C" w:rsidRPr="007E5406">
        <w:t>4</w:t>
      </w:r>
      <w:r w:rsidR="00E9592C" w:rsidRPr="004D2453">
        <w:t xml:space="preserve"> </w:t>
      </w:r>
      <w:r w:rsidRPr="004D2453">
        <w:t xml:space="preserve">тижні </w:t>
      </w:r>
      <w:r w:rsidRPr="00A84B80">
        <w:t xml:space="preserve">після </w:t>
      </w:r>
      <w:r w:rsidRPr="00341708">
        <w:rPr>
          <w:rStyle w:val="FontStyle14"/>
          <w:sz w:val="24"/>
          <w:szCs w:val="24"/>
          <w:lang w:eastAsia="uk-UA"/>
        </w:rPr>
        <w:t>щеплення</w:t>
      </w:r>
      <w:r w:rsidRPr="00A84B80">
        <w:t>.</w:t>
      </w:r>
      <w:r w:rsidRPr="004D2453">
        <w:t xml:space="preserve"> Тривалість імунітету становить 17</w:t>
      </w:r>
      <w:r w:rsidRPr="004D2453">
        <w:rPr>
          <w:rFonts w:eastAsia="Times New Roman"/>
          <w:lang w:eastAsia="en-US"/>
        </w:rPr>
        <w:t xml:space="preserve"> тижнів.</w:t>
      </w:r>
    </w:p>
    <w:p w14:paraId="28215BD0" w14:textId="77777777" w:rsidR="0030737C" w:rsidRPr="004D2453" w:rsidRDefault="0030737C" w:rsidP="0030737C">
      <w:pPr>
        <w:tabs>
          <w:tab w:val="left" w:pos="9630"/>
        </w:tabs>
        <w:ind w:right="238"/>
        <w:jc w:val="both"/>
        <w:rPr>
          <w:b/>
        </w:rPr>
      </w:pPr>
      <w:r w:rsidRPr="004D2453">
        <w:rPr>
          <w:b/>
        </w:rPr>
        <w:t>5. Клінічні характеристики</w:t>
      </w:r>
    </w:p>
    <w:p w14:paraId="22CBFE00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5.1. Вид тварин</w:t>
      </w:r>
    </w:p>
    <w:p w14:paraId="06DC0BC3" w14:textId="77777777" w:rsidR="0030737C" w:rsidRPr="004D2453" w:rsidRDefault="0030737C" w:rsidP="0030737C">
      <w:pPr>
        <w:jc w:val="both"/>
        <w:rPr>
          <w:spacing w:val="-1"/>
        </w:rPr>
      </w:pPr>
      <w:r w:rsidRPr="004D2453">
        <w:rPr>
          <w:spacing w:val="-1"/>
        </w:rPr>
        <w:t>Свині (</w:t>
      </w:r>
      <w:r w:rsidRPr="004D2453">
        <w:t>маточне поголів’я)</w:t>
      </w:r>
    </w:p>
    <w:p w14:paraId="42BBEF70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5.2. Показання до застосування</w:t>
      </w:r>
    </w:p>
    <w:p w14:paraId="3EDD6CFC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t>Для активної імунізації маточного поголів’я в господарствах, інфікованих вірусом репродуктивно-респіраторного синдрому свиней (РРСС) для зменшення:</w:t>
      </w:r>
    </w:p>
    <w:p w14:paraId="4FAADC75" w14:textId="77777777" w:rsidR="0030737C" w:rsidRPr="004D2453" w:rsidRDefault="0030737C" w:rsidP="0030737C">
      <w:pPr>
        <w:jc w:val="both"/>
      </w:pPr>
      <w:r w:rsidRPr="004D2453">
        <w:t xml:space="preserve"> - порушень репродуктивної функції, спричинених РРСС</w:t>
      </w:r>
    </w:p>
    <w:p w14:paraId="68D85755" w14:textId="77777777" w:rsidR="0030737C" w:rsidRPr="004D2453" w:rsidRDefault="0030737C" w:rsidP="0030737C">
      <w:pPr>
        <w:jc w:val="both"/>
      </w:pPr>
      <w:r w:rsidRPr="004D2453">
        <w:t xml:space="preserve"> - негативного вплив</w:t>
      </w:r>
      <w:r w:rsidR="00840948">
        <w:t>у</w:t>
      </w:r>
      <w:r w:rsidRPr="004D2453">
        <w:t xml:space="preserve"> вірусу репродуктивно-респіраторного синдрому на показники у поросят (смертність та приріст ваги тіла) під час періоду вигодовування.</w:t>
      </w:r>
    </w:p>
    <w:p w14:paraId="4E9B481F" w14:textId="77777777" w:rsidR="0030737C" w:rsidRPr="004D2453" w:rsidRDefault="0030737C" w:rsidP="0030737C">
      <w:pPr>
        <w:jc w:val="both"/>
      </w:pPr>
      <w:r w:rsidRPr="004D2453">
        <w:t>В експериментальних</w:t>
      </w:r>
      <w:r w:rsidR="00971C31">
        <w:t xml:space="preserve"> </w:t>
      </w:r>
      <w:r w:rsidRPr="004D2453">
        <w:t>умовах було також доведено, що вакцина зменшує:</w:t>
      </w:r>
    </w:p>
    <w:p w14:paraId="362AAAD9" w14:textId="77777777" w:rsidR="0030737C" w:rsidRPr="004D2453" w:rsidRDefault="0030737C" w:rsidP="0030737C">
      <w:pPr>
        <w:pStyle w:val="ListParagraph"/>
        <w:numPr>
          <w:ilvl w:val="0"/>
          <w:numId w:val="2"/>
        </w:numPr>
        <w:jc w:val="both"/>
      </w:pPr>
      <w:r w:rsidRPr="004D2453">
        <w:t xml:space="preserve">кількість віремічних свинок та свиноматок </w:t>
      </w:r>
    </w:p>
    <w:p w14:paraId="1DE91BA7" w14:textId="77777777" w:rsidR="0030737C" w:rsidRPr="004D2453" w:rsidRDefault="0030737C" w:rsidP="0030737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eastAsia="Times New Roman"/>
          <w:lang w:eastAsia="zh-CN"/>
        </w:rPr>
      </w:pPr>
      <w:r w:rsidRPr="004D2453">
        <w:t>вірусне навантаження</w:t>
      </w:r>
    </w:p>
    <w:p w14:paraId="12D6A0D3" w14:textId="77777777" w:rsidR="0030737C" w:rsidRPr="004D2453" w:rsidRDefault="008E699A" w:rsidP="0030737C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eastAsia="Times New Roman"/>
          <w:lang w:eastAsia="zh-CN"/>
        </w:rPr>
      </w:pPr>
      <w:r w:rsidRPr="004D2453">
        <w:t>тривал</w:t>
      </w:r>
      <w:r>
        <w:t>і</w:t>
      </w:r>
      <w:r w:rsidRPr="004D2453">
        <w:t xml:space="preserve">сть </w:t>
      </w:r>
      <w:r w:rsidR="0030737C" w:rsidRPr="004D2453">
        <w:t>вірусного зараження</w:t>
      </w:r>
    </w:p>
    <w:p w14:paraId="4EE4793F" w14:textId="77777777" w:rsidR="0030737C" w:rsidRPr="004D2453" w:rsidRDefault="0030737C" w:rsidP="0030737C">
      <w:pPr>
        <w:pStyle w:val="ListParagraph"/>
        <w:numPr>
          <w:ilvl w:val="0"/>
          <w:numId w:val="2"/>
        </w:numPr>
        <w:jc w:val="both"/>
        <w:rPr>
          <w:rFonts w:eastAsia="Times New Roman"/>
          <w:lang w:eastAsia="zh-CN"/>
        </w:rPr>
      </w:pPr>
      <w:r w:rsidRPr="004D2453">
        <w:t>трансплацентарну передачу вірусу</w:t>
      </w:r>
    </w:p>
    <w:p w14:paraId="2E0C4160" w14:textId="77777777" w:rsidR="0030737C" w:rsidRPr="004D2453" w:rsidRDefault="0030737C" w:rsidP="0030737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t>клінічні ознаки, обумовлені вірусом репродуктивно-респіраторного синдрому у поросят.</w:t>
      </w:r>
    </w:p>
    <w:p w14:paraId="2734D166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5.3. Протипоказання</w:t>
      </w:r>
    </w:p>
    <w:p w14:paraId="30520182" w14:textId="77777777" w:rsidR="0030737C" w:rsidRPr="004D2453" w:rsidRDefault="0030737C" w:rsidP="0030737C">
      <w:pPr>
        <w:jc w:val="both"/>
      </w:pPr>
      <w:r w:rsidRPr="004D2453">
        <w:t>Не слід застосовувати вакцину при підвищеній чутливості до активного компонента або до будь-яких допоміжних речовин.</w:t>
      </w:r>
    </w:p>
    <w:p w14:paraId="5510AEB1" w14:textId="77777777" w:rsidR="0030737C" w:rsidRPr="004D2453" w:rsidRDefault="0030737C" w:rsidP="0030737C">
      <w:pPr>
        <w:jc w:val="both"/>
        <w:rPr>
          <w:rFonts w:eastAsia="Times New Roman"/>
          <w:lang w:eastAsia="en-US"/>
        </w:rPr>
      </w:pPr>
      <w:r w:rsidRPr="004D2453">
        <w:t>Не застосовувати для кнурів плідників в інтактних стадах, оскільки вірус репродуктивно-респіраторного синдрому може проникати в сперму</w:t>
      </w:r>
      <w:r w:rsidRPr="004D2453">
        <w:rPr>
          <w:rFonts w:eastAsia="Times New Roman"/>
          <w:lang w:eastAsia="en-US"/>
        </w:rPr>
        <w:t>.</w:t>
      </w:r>
    </w:p>
    <w:p w14:paraId="7C0AADAA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t>Не застосовувати в стадах, які не уражені РРСС та в яких наявність вірусу репродуктивно-респіраторного</w:t>
      </w:r>
      <w:r w:rsidR="00346FFE" w:rsidRPr="004D2453">
        <w:t xml:space="preserve"> </w:t>
      </w:r>
      <w:r w:rsidRPr="004D2453">
        <w:t>синдрому свиней не було виявлено за допомогою методів діагностики.</w:t>
      </w:r>
    </w:p>
    <w:p w14:paraId="40B54C24" w14:textId="77777777" w:rsidR="004D2453" w:rsidRDefault="004D2453" w:rsidP="0030737C">
      <w:pPr>
        <w:jc w:val="both"/>
        <w:rPr>
          <w:b/>
        </w:rPr>
      </w:pPr>
    </w:p>
    <w:p w14:paraId="0636E4D0" w14:textId="77777777" w:rsidR="003651FA" w:rsidRDefault="003651FA" w:rsidP="0030737C">
      <w:pPr>
        <w:jc w:val="both"/>
        <w:rPr>
          <w:b/>
        </w:rPr>
      </w:pPr>
    </w:p>
    <w:p w14:paraId="02F4A9FA" w14:textId="77777777" w:rsidR="004D2453" w:rsidRDefault="004D2453" w:rsidP="004D2453">
      <w:pPr>
        <w:ind w:left="6660"/>
      </w:pPr>
      <w:r>
        <w:lastRenderedPageBreak/>
        <w:t>Продовження додатку 1</w:t>
      </w:r>
    </w:p>
    <w:p w14:paraId="7F2987F3" w14:textId="77777777" w:rsidR="004D2453" w:rsidRDefault="004D2453" w:rsidP="004D2453">
      <w:pPr>
        <w:ind w:left="6660"/>
      </w:pPr>
      <w:r>
        <w:t>до реєстраційного посвідчення</w:t>
      </w:r>
    </w:p>
    <w:p w14:paraId="775174F4" w14:textId="77777777" w:rsidR="004D2453" w:rsidRDefault="004D2453" w:rsidP="004D2453">
      <w:pPr>
        <w:ind w:left="6660"/>
      </w:pPr>
      <w:r>
        <w:t>№ ВА-00780-02-15</w:t>
      </w:r>
    </w:p>
    <w:p w14:paraId="0B00B958" w14:textId="77777777" w:rsidR="004D2453" w:rsidRDefault="004D2453" w:rsidP="004D2453">
      <w:pPr>
        <w:ind w:left="6660"/>
      </w:pPr>
      <w:r>
        <w:t xml:space="preserve">від </w:t>
      </w:r>
    </w:p>
    <w:p w14:paraId="35D30C75" w14:textId="77777777" w:rsidR="004D2453" w:rsidRDefault="004D2453" w:rsidP="004D2453">
      <w:pPr>
        <w:ind w:left="6660"/>
      </w:pPr>
    </w:p>
    <w:p w14:paraId="7C91B3C6" w14:textId="77777777" w:rsidR="0030737C" w:rsidRPr="004D2453" w:rsidRDefault="0030737C" w:rsidP="0030737C">
      <w:pPr>
        <w:jc w:val="both"/>
      </w:pPr>
      <w:r w:rsidRPr="004D2453">
        <w:rPr>
          <w:b/>
        </w:rPr>
        <w:t xml:space="preserve">5.4. </w:t>
      </w:r>
      <w:r w:rsidRPr="004D2453">
        <w:rPr>
          <w:b/>
          <w:bCs/>
          <w:lang w:eastAsia="uk-UA"/>
        </w:rPr>
        <w:t>Побічна дія</w:t>
      </w:r>
    </w:p>
    <w:p w14:paraId="7CAAB9DF" w14:textId="77777777" w:rsidR="0030737C" w:rsidRPr="004D2453" w:rsidRDefault="0030737C" w:rsidP="0030737C">
      <w:pPr>
        <w:jc w:val="both"/>
      </w:pPr>
      <w:r w:rsidRPr="004D2453">
        <w:t>Тимчасове підвищення ректальної температури,</w:t>
      </w:r>
      <w:r w:rsidR="00971C31">
        <w:t xml:space="preserve"> </w:t>
      </w:r>
      <w:r w:rsidRPr="004D2453">
        <w:t>зниження апетиту,</w:t>
      </w:r>
      <w:r w:rsidR="00971C31">
        <w:t xml:space="preserve"> </w:t>
      </w:r>
      <w:r w:rsidRPr="004D2453">
        <w:t>незначна депресія та прискорене дихання може спостерігатися після вакцинації та минає самостійно, без лікування.</w:t>
      </w:r>
    </w:p>
    <w:p w14:paraId="3CA9A576" w14:textId="77777777" w:rsidR="0030737C" w:rsidRPr="004D2453" w:rsidRDefault="0030737C" w:rsidP="0030737C">
      <w:pPr>
        <w:jc w:val="both"/>
      </w:pPr>
      <w:r w:rsidRPr="004D2453">
        <w:t>В місці введення вакцини можуть спостерігатися незначні набряки або почервоніння шкіри</w:t>
      </w:r>
      <w:r w:rsidR="0009211E">
        <w:t>.</w:t>
      </w:r>
    </w:p>
    <w:p w14:paraId="533D66AC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t>Ці реакції зникають протягом трьох діб без додаткового лікування.</w:t>
      </w:r>
    </w:p>
    <w:p w14:paraId="7598C746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5.5. Особливі застереження при використанні</w:t>
      </w:r>
    </w:p>
    <w:p w14:paraId="0121ACC3" w14:textId="77777777" w:rsidR="0030737C" w:rsidRPr="004D2453" w:rsidRDefault="0030737C" w:rsidP="0030737C">
      <w:pPr>
        <w:jc w:val="both"/>
        <w:rPr>
          <w:lang w:eastAsia="en-GB"/>
        </w:rPr>
      </w:pPr>
      <w:r w:rsidRPr="004D2453">
        <w:rPr>
          <w:lang w:eastAsia="en-GB"/>
        </w:rPr>
        <w:t>Вакцинувати виключно клінічно здорових тварин.</w:t>
      </w:r>
    </w:p>
    <w:p w14:paraId="03ED70B6" w14:textId="77777777" w:rsidR="0030737C" w:rsidRPr="004D2453" w:rsidRDefault="0030737C" w:rsidP="0030737C">
      <w:pPr>
        <w:jc w:val="both"/>
        <w:rPr>
          <w:rFonts w:eastAsia="PMingLiU"/>
          <w:lang w:eastAsia="de-DE"/>
        </w:rPr>
      </w:pPr>
      <w:r w:rsidRPr="004D2453">
        <w:rPr>
          <w:rFonts w:eastAsia="PMingLiU"/>
          <w:lang w:eastAsia="de-DE"/>
        </w:rPr>
        <w:t>Слід вживати запобіжні заходи, щоб не допустити поширення вакцинного штаму</w:t>
      </w:r>
      <w:r w:rsidR="00971C31">
        <w:rPr>
          <w:rFonts w:eastAsia="PMingLiU"/>
          <w:lang w:eastAsia="de-DE"/>
        </w:rPr>
        <w:t xml:space="preserve"> </w:t>
      </w:r>
      <w:r w:rsidRPr="004D2453">
        <w:rPr>
          <w:rFonts w:eastAsia="PMingLiU"/>
          <w:lang w:eastAsia="de-DE"/>
        </w:rPr>
        <w:t>РРСС протягом 5</w:t>
      </w:r>
      <w:r w:rsidR="0009211E">
        <w:rPr>
          <w:rFonts w:eastAsia="PMingLiU"/>
          <w:lang w:eastAsia="de-DE"/>
        </w:rPr>
        <w:t> </w:t>
      </w:r>
      <w:r w:rsidRPr="004D2453">
        <w:rPr>
          <w:rFonts w:eastAsia="PMingLiU"/>
          <w:lang w:eastAsia="de-DE"/>
        </w:rPr>
        <w:t>тижнів після щеплення від вакцинованих тварин до невакцинованих тварин, які мають залишатися неінфікованими до</w:t>
      </w:r>
      <w:r w:rsidR="0009211E">
        <w:rPr>
          <w:rFonts w:eastAsia="PMingLiU"/>
          <w:lang w:eastAsia="de-DE"/>
        </w:rPr>
        <w:t xml:space="preserve"> </w:t>
      </w:r>
      <w:r w:rsidRPr="004D2453">
        <w:rPr>
          <w:rFonts w:eastAsia="PMingLiU"/>
          <w:lang w:eastAsia="de-DE"/>
        </w:rPr>
        <w:t>вірусу РРСС.</w:t>
      </w:r>
      <w:r w:rsidR="00971C31">
        <w:rPr>
          <w:rFonts w:eastAsia="PMingLiU"/>
          <w:lang w:eastAsia="de-DE"/>
        </w:rPr>
        <w:t xml:space="preserve"> </w:t>
      </w:r>
      <w:r w:rsidRPr="004D2453">
        <w:t>У вакцинованих тварин вакцинний штам може виділятися з фекаліями.</w:t>
      </w:r>
      <w:r w:rsidR="00971C31">
        <w:t xml:space="preserve"> </w:t>
      </w:r>
      <w:r w:rsidRPr="004D2453">
        <w:t>Вакцинний штам був виявлений у плодів після вакцинації свинок, що раніше не були вакциновані даною вакциною, протягом останнього триместру супоросності, але без суттєвих клінічних наслідків.</w:t>
      </w:r>
    </w:p>
    <w:p w14:paraId="4709AE9D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de-DE"/>
        </w:rPr>
      </w:pPr>
      <w:r w:rsidRPr="004D2453">
        <w:t>Рекомендується вакцинувати все маточне поголів’я у стаді.</w:t>
      </w:r>
    </w:p>
    <w:p w14:paraId="597CA0B9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t>Нещодавно введених у стадо свиноматок, що раніше не були інфіковані РРСС (наприклад, під час заміни свиноматками з РРСС-негативних стад), слід вакцинувати перед настанням поросності.</w:t>
      </w:r>
    </w:p>
    <w:p w14:paraId="1D2EB213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t>Для оптимальної програми контролю над вірусом репродуктивно-респіраторного синдрому всі тварини в стаді повинні бути вакциновані. Для поросят рекомендовано застосовувати вакцину Інгельвак РРССФЛЕКС</w:t>
      </w:r>
      <w:r w:rsidRPr="004D2453">
        <w:rPr>
          <w:rFonts w:eastAsia="Times New Roman"/>
          <w:vertAlign w:val="superscript"/>
          <w:lang w:eastAsia="en-US"/>
        </w:rPr>
        <w:t>®</w:t>
      </w:r>
      <w:r w:rsidR="00971C31">
        <w:rPr>
          <w:rFonts w:eastAsia="Times New Roman"/>
          <w:lang w:eastAsia="en-US"/>
        </w:rPr>
        <w:t xml:space="preserve"> </w:t>
      </w:r>
      <w:r w:rsidRPr="004D2453">
        <w:t>ЄС на основі того ж вакцинного штаму.</w:t>
      </w:r>
    </w:p>
    <w:p w14:paraId="237246B7" w14:textId="77777777" w:rsidR="0030737C" w:rsidRPr="004D2453" w:rsidRDefault="0030737C" w:rsidP="0030737C">
      <w:pPr>
        <w:jc w:val="both"/>
      </w:pPr>
      <w:r w:rsidRPr="004D2453">
        <w:rPr>
          <w:b/>
        </w:rPr>
        <w:t>5.6</w:t>
      </w:r>
      <w:r w:rsidR="00971C31">
        <w:rPr>
          <w:b/>
        </w:rPr>
        <w:t>.</w:t>
      </w:r>
      <w:r w:rsidRPr="004D2453">
        <w:rPr>
          <w:b/>
        </w:rPr>
        <w:t xml:space="preserve"> Застосування в період вагітності, лактації</w:t>
      </w:r>
    </w:p>
    <w:p w14:paraId="720F9CB7" w14:textId="77777777" w:rsidR="0030737C" w:rsidRPr="004D2453" w:rsidRDefault="0030737C" w:rsidP="0030737C">
      <w:pPr>
        <w:jc w:val="both"/>
      </w:pPr>
      <w:r w:rsidRPr="004D2453">
        <w:t xml:space="preserve">Вакцина може застосовуватися в період супоросності та лактації. </w:t>
      </w:r>
    </w:p>
    <w:p w14:paraId="5BFC0832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5.7. Взаємодія з іншими засобами та інші форми взаємодії</w:t>
      </w:r>
    </w:p>
    <w:p w14:paraId="6ED35FC5" w14:textId="77777777" w:rsidR="0030737C" w:rsidRPr="004D2453" w:rsidRDefault="0030737C" w:rsidP="0030737C">
      <w:pPr>
        <w:jc w:val="both"/>
        <w:rPr>
          <w:lang w:eastAsia="en-US"/>
        </w:rPr>
      </w:pPr>
      <w:r w:rsidRPr="004D2453">
        <w:t>Інформація щодо безпечності та ефективності вакцини за умови її застосування разом з іншими ветеринарними препаратами відсутня. Тому рішення щодо застосування цієї вакцини перед введенням будь-якого іншого ветеринарного засобу або після нього необхідно приймати в кожному окремому випадку.</w:t>
      </w:r>
    </w:p>
    <w:p w14:paraId="3E0E0134" w14:textId="77777777" w:rsidR="0030737C" w:rsidRPr="004D2453" w:rsidRDefault="0030737C" w:rsidP="0030737C">
      <w:pPr>
        <w:jc w:val="both"/>
        <w:rPr>
          <w:b/>
          <w:bCs/>
        </w:rPr>
      </w:pPr>
      <w:r w:rsidRPr="004D2453">
        <w:rPr>
          <w:b/>
        </w:rPr>
        <w:t xml:space="preserve">5.8. </w:t>
      </w:r>
      <w:r w:rsidRPr="004D2453">
        <w:rPr>
          <w:b/>
          <w:bCs/>
        </w:rPr>
        <w:t>Дози і способи введення тваринам різного віку</w:t>
      </w:r>
    </w:p>
    <w:p w14:paraId="3A50EC73" w14:textId="0DA9E5A5" w:rsidR="0030737C" w:rsidRPr="004D2453" w:rsidRDefault="0030737C" w:rsidP="0030737C">
      <w:pPr>
        <w:jc w:val="both"/>
      </w:pPr>
      <w:r w:rsidRPr="004D2453">
        <w:t>Вакцину вводять однократно внутрішньом’язово</w:t>
      </w:r>
      <w:r w:rsidR="00971C31">
        <w:t xml:space="preserve"> </w:t>
      </w:r>
      <w:r w:rsidRPr="004D2453">
        <w:rPr>
          <w:lang w:eastAsia="uk-UA"/>
        </w:rPr>
        <w:t>в ділянку шиї за вухом</w:t>
      </w:r>
      <w:r w:rsidRPr="004D2453">
        <w:t xml:space="preserve">у дозі 2 </w:t>
      </w:r>
      <w:r w:rsidR="007729E9">
        <w:t>мл</w:t>
      </w:r>
      <w:r w:rsidR="007729E9" w:rsidRPr="004D2453">
        <w:t xml:space="preserve"> </w:t>
      </w:r>
      <w:r w:rsidRPr="004D2453">
        <w:t xml:space="preserve">незалежно від ваги тіла тварини. </w:t>
      </w:r>
    </w:p>
    <w:p w14:paraId="4D8BD955" w14:textId="77777777" w:rsidR="0030737C" w:rsidRPr="004D2453" w:rsidRDefault="0030737C" w:rsidP="0030737C">
      <w:pPr>
        <w:jc w:val="both"/>
      </w:pPr>
      <w:r w:rsidRPr="004D2453">
        <w:t xml:space="preserve">Розчинити ліофілізат, додавши повний об’єм розчинника до флакону з вакциною. </w:t>
      </w:r>
    </w:p>
    <w:p w14:paraId="091D7EC1" w14:textId="77777777" w:rsidR="0030737C" w:rsidRPr="004D2453" w:rsidRDefault="0030737C" w:rsidP="0030737C">
      <w:pPr>
        <w:jc w:val="both"/>
      </w:pPr>
      <w:r w:rsidRPr="004D2453">
        <w:t xml:space="preserve">Перед застосуванням слід переконатися, що ліофілізат повністю розчинився. </w:t>
      </w:r>
    </w:p>
    <w:p w14:paraId="4B9462AB" w14:textId="77777777" w:rsidR="0030737C" w:rsidRPr="004D2453" w:rsidRDefault="0030737C" w:rsidP="0030737C">
      <w:pPr>
        <w:jc w:val="both"/>
      </w:pPr>
      <w:r w:rsidRPr="004D2453">
        <w:t>Уникайте контамінації під час застосування вакцини.</w:t>
      </w:r>
    </w:p>
    <w:p w14:paraId="169A0893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t>Використовуйте стерильне обладнання.</w:t>
      </w:r>
    </w:p>
    <w:p w14:paraId="2E47A9B3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i/>
          <w:lang w:eastAsia="en-US"/>
        </w:rPr>
      </w:pPr>
      <w:r w:rsidRPr="004D2453">
        <w:t>Уникайте багаторазового проколювання флакону з вакциною.</w:t>
      </w:r>
    </w:p>
    <w:p w14:paraId="0E45F7A5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i/>
          <w:lang w:eastAsia="en-US"/>
        </w:rPr>
      </w:pPr>
      <w:r w:rsidRPr="004D2453">
        <w:rPr>
          <w:rFonts w:eastAsia="Times New Roman"/>
          <w:i/>
          <w:lang w:eastAsia="en-US"/>
        </w:rPr>
        <w:t>Програма вакцинації:</w:t>
      </w:r>
    </w:p>
    <w:p w14:paraId="2D3A3096" w14:textId="77777777" w:rsidR="0045755E" w:rsidRDefault="0030737C" w:rsidP="0030737C">
      <w:pPr>
        <w:autoSpaceDE w:val="0"/>
        <w:autoSpaceDN w:val="0"/>
        <w:adjustRightInd w:val="0"/>
        <w:jc w:val="both"/>
      </w:pPr>
      <w:r w:rsidRPr="004D2453">
        <w:t xml:space="preserve">Ремонтні свинки: рекомендується проводити вакцинацію до переводу їх в основне стадо та </w:t>
      </w:r>
    </w:p>
    <w:p w14:paraId="2C66B473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t>за 2 тижні до осіменіння.</w:t>
      </w:r>
    </w:p>
    <w:p w14:paraId="7B255DF7" w14:textId="77777777" w:rsidR="0030737C" w:rsidRPr="004D2453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t>Свиноматки:</w:t>
      </w:r>
      <w:r w:rsidR="00971C31">
        <w:t xml:space="preserve"> </w:t>
      </w:r>
      <w:r w:rsidRPr="004D2453">
        <w:t>рекомендується проводити масову вакцинацію за програмою вакцинації стада, відповідно до якої все маточне поголів’я слід вакцинувати кожні три-чотири місяці.</w:t>
      </w:r>
    </w:p>
    <w:p w14:paraId="6392C3CA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5.9. Передозування (симптоми, невідкладні заходи, антидоти)</w:t>
      </w:r>
    </w:p>
    <w:p w14:paraId="106E0E5A" w14:textId="77777777" w:rsidR="0030737C" w:rsidRPr="004D2453" w:rsidRDefault="0030737C" w:rsidP="0030737C">
      <w:pPr>
        <w:jc w:val="both"/>
      </w:pPr>
      <w:r w:rsidRPr="004D2453">
        <w:t>Жодних додаткових побічних проявів</w:t>
      </w:r>
      <w:r w:rsidR="009425F0">
        <w:t xml:space="preserve"> </w:t>
      </w:r>
      <w:r w:rsidRPr="004D2453">
        <w:t>у вигляді системних реакцій, порушення параметрів репродуктивної системи або погіршення загального стану здоров’я молодняку</w:t>
      </w:r>
      <w:r w:rsidR="00971C31">
        <w:t xml:space="preserve"> </w:t>
      </w:r>
      <w:r w:rsidRPr="004D2453">
        <w:t>не спостерігалося після введення дози, що перевищувала рекомендовану в 10 разів неінфікованим супоросним свиноматкам та свиноматкам в період лактації, а також неінфікованим свиноматкам попереднього відбору.</w:t>
      </w:r>
    </w:p>
    <w:p w14:paraId="692950BC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5.10. Специфічні застереження</w:t>
      </w:r>
    </w:p>
    <w:p w14:paraId="710B256B" w14:textId="77777777" w:rsidR="0030737C" w:rsidRPr="004D2453" w:rsidRDefault="0030737C" w:rsidP="0030737C">
      <w:pPr>
        <w:autoSpaceDE w:val="0"/>
        <w:autoSpaceDN w:val="0"/>
        <w:adjustRightInd w:val="0"/>
        <w:jc w:val="both"/>
      </w:pPr>
      <w:r w:rsidRPr="004D2453">
        <w:t>Слід бути обережними, щоб уникнути передачі вакцинного штаму у стаді, тобто від вакцинованих тварин до невакцинованих тварин.</w:t>
      </w:r>
    </w:p>
    <w:p w14:paraId="53A77401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 xml:space="preserve">5.11. Період виведення (каренції) </w:t>
      </w:r>
    </w:p>
    <w:p w14:paraId="5A1A2733" w14:textId="77777777" w:rsidR="0030737C" w:rsidRPr="004D2453" w:rsidRDefault="0030737C" w:rsidP="0030737C">
      <w:pPr>
        <w:jc w:val="both"/>
      </w:pPr>
      <w:r w:rsidRPr="004D2453">
        <w:t>Нуль діб.</w:t>
      </w:r>
    </w:p>
    <w:p w14:paraId="385EAB64" w14:textId="77777777" w:rsidR="004D2453" w:rsidRDefault="004D2453" w:rsidP="004D2453">
      <w:pPr>
        <w:ind w:left="6660"/>
      </w:pPr>
      <w:r>
        <w:lastRenderedPageBreak/>
        <w:t>Продовження додатку 1</w:t>
      </w:r>
    </w:p>
    <w:p w14:paraId="22E1E955" w14:textId="77777777" w:rsidR="004D2453" w:rsidRDefault="004D2453" w:rsidP="004D2453">
      <w:pPr>
        <w:ind w:left="6660"/>
      </w:pPr>
      <w:r>
        <w:t>до реєстраційного посвідчення</w:t>
      </w:r>
    </w:p>
    <w:p w14:paraId="4FC118BA" w14:textId="77777777" w:rsidR="004D2453" w:rsidRDefault="004D2453" w:rsidP="004D2453">
      <w:pPr>
        <w:ind w:left="6660"/>
      </w:pPr>
      <w:r>
        <w:t>№ ВА-00780-02-15</w:t>
      </w:r>
    </w:p>
    <w:p w14:paraId="3DDE6FE9" w14:textId="77777777" w:rsidR="004D2453" w:rsidRDefault="004D2453" w:rsidP="004D2453">
      <w:pPr>
        <w:ind w:left="6660"/>
      </w:pPr>
      <w:r>
        <w:t xml:space="preserve">від </w:t>
      </w:r>
    </w:p>
    <w:p w14:paraId="19781D68" w14:textId="77777777" w:rsidR="004D2453" w:rsidRDefault="004D2453" w:rsidP="004D2453">
      <w:pPr>
        <w:ind w:left="6660"/>
      </w:pPr>
    </w:p>
    <w:p w14:paraId="300CD781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 xml:space="preserve">5.12. Специфічні застереження для осіб і обслуговуючого персоналу, які вводять засоби захисту тваринам </w:t>
      </w:r>
    </w:p>
    <w:p w14:paraId="77B43698" w14:textId="77777777" w:rsidR="0030737C" w:rsidRPr="004D2453" w:rsidRDefault="0030737C" w:rsidP="0030737C">
      <w:pPr>
        <w:jc w:val="both"/>
      </w:pPr>
      <w:r w:rsidRPr="004D2453">
        <w:t xml:space="preserve">У разі самоін’єкціії негайно зверніться за медичною допомогою та покажіть лікарю листівку-вкладку або етикетку. </w:t>
      </w:r>
    </w:p>
    <w:p w14:paraId="579F510A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 xml:space="preserve">6. Фармацевтичні особливості </w:t>
      </w:r>
    </w:p>
    <w:p w14:paraId="15F4D529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6.1. Основні форми несумісності</w:t>
      </w:r>
    </w:p>
    <w:p w14:paraId="6CA24847" w14:textId="77777777" w:rsidR="0030737C" w:rsidRPr="004D2453" w:rsidRDefault="0030737C" w:rsidP="0030737C">
      <w:pPr>
        <w:jc w:val="both"/>
      </w:pPr>
      <w:r w:rsidRPr="004D2453">
        <w:t xml:space="preserve">Не змішуйте вакцину </w:t>
      </w:r>
      <w:r w:rsidRPr="004D2453">
        <w:rPr>
          <w:rFonts w:eastAsia="Times New Roman"/>
          <w:lang w:eastAsia="en-US"/>
        </w:rPr>
        <w:t>РепроЦик</w:t>
      </w:r>
      <w:r w:rsidRPr="004D2453">
        <w:rPr>
          <w:rFonts w:eastAsia="Times New Roman"/>
          <w:vertAlign w:val="superscript"/>
          <w:lang w:eastAsia="en-US"/>
        </w:rPr>
        <w:t>®</w:t>
      </w:r>
      <w:r w:rsidR="003651FA">
        <w:rPr>
          <w:rFonts w:eastAsia="Times New Roman"/>
          <w:vertAlign w:val="superscript"/>
          <w:lang w:eastAsia="en-US"/>
        </w:rPr>
        <w:t xml:space="preserve"> </w:t>
      </w:r>
      <w:r w:rsidRPr="004D2453">
        <w:t>РРСС</w:t>
      </w:r>
      <w:r w:rsidR="00971C31">
        <w:t xml:space="preserve"> </w:t>
      </w:r>
      <w:r w:rsidRPr="004D2453">
        <w:rPr>
          <w:rFonts w:eastAsia="Times New Roman"/>
          <w:lang w:eastAsia="en-US"/>
        </w:rPr>
        <w:t>ЄС</w:t>
      </w:r>
      <w:r w:rsidR="00971C31">
        <w:rPr>
          <w:rFonts w:eastAsia="Times New Roman"/>
          <w:lang w:eastAsia="en-US"/>
        </w:rPr>
        <w:t xml:space="preserve"> </w:t>
      </w:r>
      <w:r w:rsidRPr="004D2453">
        <w:t>з жодним іншим ветеринарним лікарським засобом, окрім розчинника який використовується для приготування вакцини.</w:t>
      </w:r>
    </w:p>
    <w:p w14:paraId="28BBC973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6.2. Термін придатності</w:t>
      </w:r>
    </w:p>
    <w:p w14:paraId="472C0BC8" w14:textId="77777777" w:rsidR="0030737C" w:rsidRPr="004D2453" w:rsidRDefault="0030737C" w:rsidP="0030737C">
      <w:pPr>
        <w:tabs>
          <w:tab w:val="left" w:pos="6096"/>
        </w:tabs>
        <w:jc w:val="both"/>
        <w:rPr>
          <w:lang w:eastAsia="en-US"/>
        </w:rPr>
      </w:pPr>
      <w:r w:rsidRPr="004D2453">
        <w:t>Термін придатності</w:t>
      </w:r>
      <w:r w:rsidRPr="004D2453">
        <w:rPr>
          <w:lang w:eastAsia="en-US"/>
        </w:rPr>
        <w:t xml:space="preserve"> ліофілізату: 24 місяці.</w:t>
      </w:r>
    </w:p>
    <w:p w14:paraId="7FCCCAAC" w14:textId="77777777" w:rsidR="0030737C" w:rsidRPr="004D2453" w:rsidRDefault="0030737C" w:rsidP="0030737C">
      <w:pPr>
        <w:tabs>
          <w:tab w:val="left" w:pos="6096"/>
        </w:tabs>
        <w:jc w:val="both"/>
        <w:rPr>
          <w:lang w:eastAsia="en-US"/>
        </w:rPr>
      </w:pPr>
      <w:r w:rsidRPr="004D2453">
        <w:t>Термін придатності</w:t>
      </w:r>
      <w:r w:rsidRPr="004D2453">
        <w:rPr>
          <w:lang w:eastAsia="en-US"/>
        </w:rPr>
        <w:t xml:space="preserve"> розчинника: 36 місяців.</w:t>
      </w:r>
    </w:p>
    <w:p w14:paraId="6E883293" w14:textId="77777777" w:rsidR="0030737C" w:rsidRPr="004D2453" w:rsidRDefault="0030737C" w:rsidP="0030737C">
      <w:pPr>
        <w:tabs>
          <w:tab w:val="left" w:pos="6096"/>
        </w:tabs>
        <w:jc w:val="both"/>
        <w:rPr>
          <w:lang w:eastAsia="en-US"/>
        </w:rPr>
      </w:pPr>
      <w:r w:rsidRPr="004D2453">
        <w:t>Термін придатності</w:t>
      </w:r>
      <w:r w:rsidRPr="004D2453">
        <w:rPr>
          <w:lang w:eastAsia="en-US"/>
        </w:rPr>
        <w:t xml:space="preserve"> п</w:t>
      </w:r>
      <w:r w:rsidRPr="004D2453">
        <w:t>ісля розведення відповідно листівки-вкладки:</w:t>
      </w:r>
      <w:r w:rsidR="00A84B80" w:rsidRPr="00341708">
        <w:rPr>
          <w:lang w:val="ru-RU"/>
        </w:rPr>
        <w:t xml:space="preserve"> </w:t>
      </w:r>
      <w:r w:rsidRPr="004D2453">
        <w:rPr>
          <w:lang w:eastAsia="en-US"/>
        </w:rPr>
        <w:t>8 годин.</w:t>
      </w:r>
    </w:p>
    <w:p w14:paraId="7A09289C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 xml:space="preserve">6.3. Особливі застереження щодо зберігання </w:t>
      </w:r>
    </w:p>
    <w:p w14:paraId="4C67E893" w14:textId="77777777" w:rsidR="0030737C" w:rsidRPr="004D2453" w:rsidRDefault="0030737C" w:rsidP="0030737C">
      <w:pPr>
        <w:jc w:val="both"/>
      </w:pPr>
      <w:r w:rsidRPr="004D2453">
        <w:t xml:space="preserve">Зберігати та транспортувати вакцину та розчинник в захищеному від світла місці при температурі від </w:t>
      </w:r>
      <w:smartTag w:uri="urn:schemas-microsoft-com:office:smarttags" w:element="metricconverter">
        <w:smartTagPr>
          <w:attr w:name="ProductID" w:val="2ﾰC"/>
        </w:smartTagPr>
        <w:r w:rsidRPr="004D2453">
          <w:t>2°C</w:t>
        </w:r>
      </w:smartTag>
      <w:r w:rsidRPr="004D2453">
        <w:t xml:space="preserve"> до </w:t>
      </w:r>
      <w:smartTag w:uri="urn:schemas-microsoft-com:office:smarttags" w:element="metricconverter">
        <w:smartTagPr>
          <w:attr w:name="ProductID" w:val="8ﾰC"/>
        </w:smartTagPr>
        <w:smartTag w:uri="urn:schemas-microsoft-com:office:smarttags" w:element="metricconverter">
          <w:smartTagPr>
            <w:attr w:name="ProductID" w:val="8ﾰC"/>
          </w:smartTagPr>
          <w:r w:rsidRPr="004D2453">
            <w:t>8°C</w:t>
          </w:r>
        </w:smartTag>
        <w:r w:rsidRPr="004D2453">
          <w:t xml:space="preserve">. </w:t>
        </w:r>
      </w:smartTag>
      <w:r w:rsidRPr="004D2453">
        <w:t>Не заморожувати. Зберігати у недоступному для дітей місці.</w:t>
      </w:r>
    </w:p>
    <w:p w14:paraId="49522BA4" w14:textId="77777777" w:rsidR="0030737C" w:rsidRPr="004D2453" w:rsidRDefault="0030737C" w:rsidP="0030737C">
      <w:pPr>
        <w:jc w:val="both"/>
        <w:rPr>
          <w:b/>
          <w:bCs/>
        </w:rPr>
      </w:pPr>
      <w:r w:rsidRPr="004D2453">
        <w:rPr>
          <w:b/>
        </w:rPr>
        <w:t>6.4. Природа і склад контейнера</w:t>
      </w:r>
      <w:r w:rsidRPr="004D2453">
        <w:rPr>
          <w:b/>
          <w:bCs/>
        </w:rPr>
        <w:t xml:space="preserve"> первинного </w:t>
      </w:r>
      <w:r w:rsidRPr="004D2453">
        <w:rPr>
          <w:b/>
        </w:rPr>
        <w:t xml:space="preserve"> пакування</w:t>
      </w:r>
    </w:p>
    <w:p w14:paraId="7060FD0E" w14:textId="77777777" w:rsidR="0030737C" w:rsidRPr="004D2453" w:rsidRDefault="0030737C" w:rsidP="0030737C">
      <w:pPr>
        <w:jc w:val="both"/>
        <w:rPr>
          <w:lang w:eastAsia="en-US"/>
        </w:rPr>
      </w:pPr>
      <w:r w:rsidRPr="004D2453">
        <w:rPr>
          <w:u w:val="single"/>
          <w:lang w:eastAsia="en-US"/>
        </w:rPr>
        <w:t>Ліофілізат</w:t>
      </w:r>
      <w:r w:rsidRPr="004D2453">
        <w:rPr>
          <w:lang w:eastAsia="en-US"/>
        </w:rPr>
        <w:t>:</w:t>
      </w:r>
    </w:p>
    <w:p w14:paraId="53D8F10E" w14:textId="3500A7F2" w:rsidR="0045755E" w:rsidRDefault="0030737C" w:rsidP="0030737C">
      <w:pPr>
        <w:autoSpaceDE w:val="0"/>
        <w:autoSpaceDN w:val="0"/>
        <w:adjustRightInd w:val="0"/>
        <w:jc w:val="both"/>
        <w:rPr>
          <w:vertAlign w:val="superscript"/>
        </w:rPr>
      </w:pPr>
      <w:r w:rsidRPr="004D2453">
        <w:rPr>
          <w:rFonts w:eastAsia="Times New Roman"/>
          <w:lang w:eastAsia="en-US"/>
        </w:rPr>
        <w:t xml:space="preserve">Коробка містить по 1, 12 або 25 флаконів </w:t>
      </w:r>
      <w:r w:rsidRPr="004D2453">
        <w:t xml:space="preserve">з бурштинового скла типу I по </w:t>
      </w:r>
      <w:r w:rsidRPr="004D2453">
        <w:rPr>
          <w:rFonts w:eastAsia="Times New Roman"/>
          <w:lang w:eastAsia="en-US"/>
        </w:rPr>
        <w:t xml:space="preserve">20 </w:t>
      </w:r>
      <w:r w:rsidR="007729E9">
        <w:t>мл</w:t>
      </w:r>
      <w:r w:rsidR="007729E9">
        <w:rPr>
          <w:vertAlign w:val="superscript"/>
        </w:rPr>
        <w:t xml:space="preserve"> </w:t>
      </w:r>
      <w:r w:rsidR="00D049BF" w:rsidRPr="0030402F">
        <w:t>(10 доз)</w:t>
      </w:r>
      <w:r w:rsidRPr="004D2453">
        <w:rPr>
          <w:rFonts w:eastAsia="Times New Roman"/>
          <w:lang w:eastAsia="en-US"/>
        </w:rPr>
        <w:t xml:space="preserve">, 100 </w:t>
      </w:r>
      <w:r w:rsidR="007729E9">
        <w:t>мл</w:t>
      </w:r>
      <w:r w:rsidR="007729E9">
        <w:rPr>
          <w:vertAlign w:val="superscript"/>
        </w:rPr>
        <w:t xml:space="preserve"> </w:t>
      </w:r>
    </w:p>
    <w:p w14:paraId="44A48060" w14:textId="4642BD47" w:rsidR="0030737C" w:rsidRPr="004D2453" w:rsidRDefault="00D049BF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30402F">
        <w:t>(50 доз)</w:t>
      </w:r>
      <w:r w:rsidRPr="002B299D">
        <w:rPr>
          <w:vertAlign w:val="superscript"/>
        </w:rPr>
        <w:t xml:space="preserve"> </w:t>
      </w:r>
      <w:r w:rsidR="0030737C" w:rsidRPr="004D2453">
        <w:rPr>
          <w:rFonts w:eastAsia="Times New Roman"/>
          <w:lang w:eastAsia="en-US"/>
        </w:rPr>
        <w:t>та 2</w:t>
      </w:r>
      <w:r>
        <w:rPr>
          <w:rFonts w:eastAsia="Times New Roman"/>
          <w:lang w:eastAsia="en-US"/>
        </w:rPr>
        <w:t>0</w:t>
      </w:r>
      <w:r w:rsidR="0030737C" w:rsidRPr="004D2453">
        <w:rPr>
          <w:rFonts w:eastAsia="Times New Roman"/>
          <w:lang w:eastAsia="en-US"/>
        </w:rPr>
        <w:t xml:space="preserve">0 </w:t>
      </w:r>
      <w:r w:rsidR="007729E9">
        <w:t>мл</w:t>
      </w:r>
      <w:r w:rsidR="007729E9">
        <w:rPr>
          <w:vertAlign w:val="superscript"/>
        </w:rPr>
        <w:t xml:space="preserve"> </w:t>
      </w:r>
      <w:r w:rsidRPr="0030402F">
        <w:t>(100 доз)</w:t>
      </w:r>
      <w:r w:rsidR="0030737C" w:rsidRPr="004D2453">
        <w:rPr>
          <w:rFonts w:eastAsia="Times New Roman"/>
          <w:lang w:eastAsia="en-US"/>
        </w:rPr>
        <w:t xml:space="preserve">, </w:t>
      </w:r>
      <w:r w:rsidR="0030737C" w:rsidRPr="004D2453">
        <w:t>закриті пробкою з бромбутилового каучуку та алюмінієвим ковпачком.</w:t>
      </w:r>
    </w:p>
    <w:p w14:paraId="75DDB7FE" w14:textId="77777777" w:rsidR="0030737C" w:rsidRPr="004D2453" w:rsidRDefault="0030737C" w:rsidP="0030737C">
      <w:pPr>
        <w:jc w:val="both"/>
      </w:pPr>
      <w:r w:rsidRPr="004D2453">
        <w:rPr>
          <w:u w:val="single"/>
        </w:rPr>
        <w:t>Розчинник до вакцини</w:t>
      </w:r>
      <w:r w:rsidRPr="004D2453">
        <w:t>:</w:t>
      </w:r>
    </w:p>
    <w:p w14:paraId="55E8724D" w14:textId="3CBF8197" w:rsidR="0045755E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rPr>
          <w:rFonts w:eastAsia="Times New Roman"/>
          <w:lang w:eastAsia="en-US"/>
        </w:rPr>
        <w:t xml:space="preserve">Коробка містить по 1, 12 або 25 </w:t>
      </w:r>
      <w:r w:rsidRPr="004D2453">
        <w:t xml:space="preserve">флаконів з поліетилену високої щільності по </w:t>
      </w:r>
      <w:r w:rsidRPr="004D2453">
        <w:rPr>
          <w:rFonts w:eastAsia="Times New Roman"/>
          <w:lang w:eastAsia="en-US"/>
        </w:rPr>
        <w:t xml:space="preserve">20 </w:t>
      </w:r>
      <w:r w:rsidR="007729E9">
        <w:t>мл</w:t>
      </w:r>
      <w:r w:rsidRPr="004D2453">
        <w:rPr>
          <w:rFonts w:eastAsia="Times New Roman"/>
          <w:lang w:eastAsia="en-US"/>
        </w:rPr>
        <w:t xml:space="preserve">, 100 </w:t>
      </w:r>
      <w:r w:rsidR="007729E9">
        <w:t>мл</w:t>
      </w:r>
      <w:r w:rsidR="007729E9" w:rsidRPr="004D2453">
        <w:rPr>
          <w:rFonts w:eastAsia="Times New Roman"/>
          <w:lang w:eastAsia="en-US"/>
        </w:rPr>
        <w:t xml:space="preserve"> </w:t>
      </w:r>
    </w:p>
    <w:p w14:paraId="5175C485" w14:textId="5376FA64" w:rsidR="0030737C" w:rsidRPr="00D843C2" w:rsidRDefault="0030737C" w:rsidP="0030737C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  <w:r w:rsidRPr="004D2453">
        <w:rPr>
          <w:rFonts w:eastAsia="Times New Roman"/>
          <w:lang w:eastAsia="en-US"/>
        </w:rPr>
        <w:t xml:space="preserve">та 200 </w:t>
      </w:r>
      <w:r w:rsidR="007729E9">
        <w:t>мл</w:t>
      </w:r>
      <w:r w:rsidR="007729E9" w:rsidRPr="004D2453">
        <w:rPr>
          <w:rFonts w:eastAsia="Times New Roman"/>
          <w:lang w:eastAsia="en-US"/>
        </w:rPr>
        <w:t xml:space="preserve"> </w:t>
      </w:r>
      <w:r w:rsidRPr="004D2453">
        <w:rPr>
          <w:rFonts w:eastAsia="Times New Roman"/>
          <w:lang w:eastAsia="en-US"/>
        </w:rPr>
        <w:t xml:space="preserve">закупорені </w:t>
      </w:r>
      <w:r w:rsidRPr="004D2453">
        <w:t>бром- або хлорбутилкаучуковою пробкою та алюмінієвим ковпачком.</w:t>
      </w:r>
    </w:p>
    <w:p w14:paraId="2E010646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6.5. Назва та місцезнаходження власника реєстраційного посвідчення</w:t>
      </w:r>
    </w:p>
    <w:p w14:paraId="785A6ABE" w14:textId="77777777" w:rsidR="0030737C" w:rsidRPr="004D2453" w:rsidRDefault="0030737C" w:rsidP="0030737C">
      <w:pPr>
        <w:jc w:val="both"/>
      </w:pPr>
      <w:r w:rsidRPr="004D2453">
        <w:t xml:space="preserve">Берінгер Інгельхайм Ветмедіка ГмбХ, </w:t>
      </w:r>
      <w:smartTag w:uri="urn:schemas-microsoft-com:office:smarttags" w:element="metricconverter">
        <w:smartTagPr>
          <w:attr w:name="ProductID" w:val="55216 м"/>
        </w:smartTagPr>
        <w:r w:rsidRPr="004D2453">
          <w:t>55216 м</w:t>
        </w:r>
      </w:smartTag>
      <w:r w:rsidRPr="004D2453">
        <w:t xml:space="preserve">. Інгельхайм-на-Рейні, Німеччина. </w:t>
      </w:r>
    </w:p>
    <w:p w14:paraId="3FBDE785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6.6. Назва та місцезнаходження виробників</w:t>
      </w:r>
    </w:p>
    <w:p w14:paraId="631049F2" w14:textId="4D221FE5" w:rsidR="00996144" w:rsidRPr="00D843C2" w:rsidRDefault="00996144" w:rsidP="0030737C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234"/>
          <w:tab w:val="left" w:pos="9516"/>
          <w:tab w:val="left" w:pos="9672"/>
        </w:tabs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843C2">
        <w:rPr>
          <w:rFonts w:ascii="Times New Roman" w:hAnsi="Times New Roman"/>
          <w:sz w:val="24"/>
          <w:szCs w:val="24"/>
          <w:u w:val="single"/>
          <w:lang w:val="ru-RU"/>
        </w:rPr>
        <w:t>Виробництво, контроль, первинне та вторинне пакування, випуск серії:</w:t>
      </w:r>
    </w:p>
    <w:p w14:paraId="7367B3C1" w14:textId="1D3DB332" w:rsidR="0030737C" w:rsidRPr="004D2453" w:rsidRDefault="00A84B80" w:rsidP="0030737C">
      <w:pPr>
        <w:pStyle w:val="HTMLPreformatte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234"/>
          <w:tab w:val="left" w:pos="9516"/>
          <w:tab w:val="left" w:pos="967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84B80">
        <w:rPr>
          <w:rFonts w:ascii="Times New Roman" w:hAnsi="Times New Roman"/>
          <w:sz w:val="24"/>
          <w:szCs w:val="24"/>
        </w:rPr>
        <w:t>Берінгер Інгельхайм Енімал Хелс Ю.Ес.Ей Інк.</w:t>
      </w:r>
      <w:r w:rsidR="0030737C" w:rsidRPr="004D2453">
        <w:rPr>
          <w:rFonts w:ascii="Times New Roman" w:hAnsi="Times New Roman"/>
          <w:sz w:val="24"/>
          <w:szCs w:val="24"/>
        </w:rPr>
        <w:t>, 2621 Норс Белт Хайвей, Сент Джозеф, Міссурі, 64506, США</w:t>
      </w:r>
      <w:r w:rsidR="0030737C" w:rsidRPr="004D2453">
        <w:rPr>
          <w:rFonts w:ascii="Times New Roman" w:hAnsi="Times New Roman"/>
          <w:sz w:val="24"/>
          <w:szCs w:val="24"/>
          <w:lang w:eastAsia="ru-RU"/>
        </w:rPr>
        <w:t>.</w:t>
      </w:r>
    </w:p>
    <w:p w14:paraId="03C10A89" w14:textId="2CFAAEC5" w:rsidR="00996144" w:rsidRPr="00D843C2" w:rsidRDefault="00996144" w:rsidP="0030737C">
      <w:pPr>
        <w:jc w:val="both"/>
        <w:rPr>
          <w:u w:val="single"/>
          <w:lang w:val="ru-RU"/>
        </w:rPr>
      </w:pPr>
      <w:r w:rsidRPr="00D843C2">
        <w:rPr>
          <w:u w:val="single"/>
          <w:lang w:val="ru-RU"/>
        </w:rPr>
        <w:t>Контроль та випуск серії (на території ЄС):</w:t>
      </w:r>
    </w:p>
    <w:p w14:paraId="6C67D62B" w14:textId="6F53FA95" w:rsidR="0030737C" w:rsidRPr="004D2453" w:rsidRDefault="0030737C" w:rsidP="0030737C">
      <w:pPr>
        <w:jc w:val="both"/>
      </w:pPr>
      <w:r w:rsidRPr="004D2453">
        <w:t xml:space="preserve">Берінгер Інгельхайм Ветмедіка ГмбХ, </w:t>
      </w:r>
      <w:smartTag w:uri="urn:schemas-microsoft-com:office:smarttags" w:element="metricconverter">
        <w:smartTagPr>
          <w:attr w:name="ProductID" w:val="55216 м"/>
        </w:smartTagPr>
        <w:r w:rsidRPr="004D2453">
          <w:t>55216 м</w:t>
        </w:r>
      </w:smartTag>
      <w:r w:rsidRPr="004D2453">
        <w:t xml:space="preserve">. Інгельхайм-на-Рейні, Німеччина. </w:t>
      </w:r>
    </w:p>
    <w:p w14:paraId="66900E8E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 xml:space="preserve">6.7. Особливі заходи безпеки при поводженні з невикористаним засобом </w:t>
      </w:r>
    </w:p>
    <w:p w14:paraId="3F8B3CD2" w14:textId="77777777" w:rsidR="0030737C" w:rsidRPr="00D843C2" w:rsidRDefault="0030737C" w:rsidP="0030737C">
      <w:pPr>
        <w:jc w:val="both"/>
        <w:rPr>
          <w:lang w:val="ru-RU"/>
        </w:rPr>
      </w:pPr>
      <w:r w:rsidRPr="004D2453">
        <w:t>Будь-який невикористаний продукт або його відходи повинні утилізуватися відповідно до вимог місцевого законодавства.</w:t>
      </w:r>
    </w:p>
    <w:p w14:paraId="41777CC3" w14:textId="77777777" w:rsidR="00996144" w:rsidRPr="00D843C2" w:rsidRDefault="00996144" w:rsidP="00996144">
      <w:pPr>
        <w:jc w:val="both"/>
        <w:rPr>
          <w:b/>
          <w:bCs/>
          <w:lang w:val="ru-RU"/>
        </w:rPr>
      </w:pPr>
      <w:r w:rsidRPr="00D843C2">
        <w:rPr>
          <w:b/>
          <w:bCs/>
          <w:lang w:val="ru-RU"/>
        </w:rPr>
        <w:t>6.8. Правила відпуску</w:t>
      </w:r>
    </w:p>
    <w:p w14:paraId="4853861A" w14:textId="1FFA27D3" w:rsidR="00996144" w:rsidRPr="00D843C2" w:rsidRDefault="00996144" w:rsidP="00996144">
      <w:pPr>
        <w:jc w:val="both"/>
        <w:rPr>
          <w:lang w:val="ru-RU"/>
        </w:rPr>
      </w:pPr>
      <w:r w:rsidRPr="00D843C2">
        <w:rPr>
          <w:lang w:val="ru-RU"/>
        </w:rPr>
        <w:t>Без рецепта.</w:t>
      </w:r>
    </w:p>
    <w:p w14:paraId="5BA918F5" w14:textId="77777777" w:rsidR="0030737C" w:rsidRPr="004D2453" w:rsidRDefault="0030737C" w:rsidP="0030737C">
      <w:pPr>
        <w:jc w:val="both"/>
        <w:rPr>
          <w:b/>
        </w:rPr>
      </w:pPr>
      <w:r w:rsidRPr="004D2453">
        <w:rPr>
          <w:b/>
        </w:rPr>
        <w:t>7. Додаткова інформація</w:t>
      </w:r>
    </w:p>
    <w:p w14:paraId="012F5296" w14:textId="77777777" w:rsidR="0030737C" w:rsidRPr="004D2453" w:rsidRDefault="0030737C" w:rsidP="0030737C">
      <w:pPr>
        <w:jc w:val="both"/>
      </w:pPr>
      <w:r w:rsidRPr="004D2453">
        <w:t xml:space="preserve"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“Вказівки про порядок пред’явлення рекламацій на біологічні препарати, що призначені для застосування у ветеринарній медицині” від </w:t>
      </w:r>
      <w:smartTag w:uri="urn:schemas-microsoft-com:office:smarttags" w:element="metricconverter">
        <w:smartTagPr>
          <w:attr w:name="ProductID" w:val="03151, м"/>
        </w:smartTagPr>
        <w:r w:rsidRPr="004D2453">
          <w:t>03.06.98</w:t>
        </w:r>
      </w:smartTag>
      <w:r w:rsidRPr="004D2453">
        <w:t xml:space="preserve"> № 2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4D2453">
          <w:t>03151, м</w:t>
        </w:r>
      </w:smartTag>
      <w:r w:rsidRPr="004D2453">
        <w:t>. Київ, вул. Донецька, 30, ДНКІБШМ.</w:t>
      </w:r>
    </w:p>
    <w:p w14:paraId="0F800755" w14:textId="77777777" w:rsidR="0030737C" w:rsidRPr="004D2453" w:rsidRDefault="0030737C" w:rsidP="0030737C">
      <w:pPr>
        <w:jc w:val="both"/>
      </w:pPr>
    </w:p>
    <w:p w14:paraId="3DA5FC41" w14:textId="77777777" w:rsidR="0030737C" w:rsidRPr="004D2453" w:rsidRDefault="0030737C" w:rsidP="0030737C">
      <w:pPr>
        <w:jc w:val="center"/>
      </w:pPr>
    </w:p>
    <w:sectPr w:rsidR="0030737C" w:rsidRPr="004D2453" w:rsidSect="00346FFE">
      <w:footerReference w:type="even" r:id="rId8"/>
      <w:footerReference w:type="default" r:id="rId9"/>
      <w:pgSz w:w="11906" w:h="16838"/>
      <w:pgMar w:top="567" w:right="454" w:bottom="45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9A51" w14:textId="77777777" w:rsidR="004711D9" w:rsidRDefault="004711D9">
      <w:r>
        <w:separator/>
      </w:r>
    </w:p>
  </w:endnote>
  <w:endnote w:type="continuationSeparator" w:id="0">
    <w:p w14:paraId="6BA5E5FC" w14:textId="77777777" w:rsidR="004711D9" w:rsidRDefault="0047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00E" w14:textId="77777777" w:rsidR="005B69C4" w:rsidRDefault="005B69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81E20" w14:textId="77777777" w:rsidR="005B69C4" w:rsidRDefault="005B6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845" w14:textId="77777777" w:rsidR="005B69C4" w:rsidRDefault="005B69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09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4B2BD5" w14:textId="77777777" w:rsidR="005B69C4" w:rsidRDefault="005B6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2DAF" w14:textId="77777777" w:rsidR="004711D9" w:rsidRDefault="004711D9">
      <w:r>
        <w:separator/>
      </w:r>
    </w:p>
  </w:footnote>
  <w:footnote w:type="continuationSeparator" w:id="0">
    <w:p w14:paraId="6D960D17" w14:textId="77777777" w:rsidR="004711D9" w:rsidRDefault="00471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2B7"/>
    <w:multiLevelType w:val="hybridMultilevel"/>
    <w:tmpl w:val="E0F00706"/>
    <w:lvl w:ilvl="0" w:tplc="2B8E493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72E76EE"/>
    <w:multiLevelType w:val="hybridMultilevel"/>
    <w:tmpl w:val="E6249E88"/>
    <w:lvl w:ilvl="0" w:tplc="723E1A7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6259431">
    <w:abstractNumId w:val="0"/>
  </w:num>
  <w:num w:numId="2" w16cid:durableId="4799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7C"/>
    <w:rsid w:val="00040035"/>
    <w:rsid w:val="0006388A"/>
    <w:rsid w:val="0009211E"/>
    <w:rsid w:val="000C7FAE"/>
    <w:rsid w:val="00155A73"/>
    <w:rsid w:val="00230560"/>
    <w:rsid w:val="00242B26"/>
    <w:rsid w:val="00243C5D"/>
    <w:rsid w:val="0030737C"/>
    <w:rsid w:val="00341708"/>
    <w:rsid w:val="00346FFE"/>
    <w:rsid w:val="003651FA"/>
    <w:rsid w:val="0045755E"/>
    <w:rsid w:val="004711D9"/>
    <w:rsid w:val="004D2453"/>
    <w:rsid w:val="004E4081"/>
    <w:rsid w:val="004F1399"/>
    <w:rsid w:val="00564B49"/>
    <w:rsid w:val="0059207C"/>
    <w:rsid w:val="005B69C4"/>
    <w:rsid w:val="006837F3"/>
    <w:rsid w:val="0069750F"/>
    <w:rsid w:val="006D728C"/>
    <w:rsid w:val="007729E9"/>
    <w:rsid w:val="007E5406"/>
    <w:rsid w:val="008127C6"/>
    <w:rsid w:val="00840948"/>
    <w:rsid w:val="008E699A"/>
    <w:rsid w:val="009425F0"/>
    <w:rsid w:val="00971C31"/>
    <w:rsid w:val="009731DD"/>
    <w:rsid w:val="00996144"/>
    <w:rsid w:val="00A84B80"/>
    <w:rsid w:val="00AC201B"/>
    <w:rsid w:val="00AC4C23"/>
    <w:rsid w:val="00B00660"/>
    <w:rsid w:val="00B4057E"/>
    <w:rsid w:val="00B750ED"/>
    <w:rsid w:val="00BB5069"/>
    <w:rsid w:val="00C873F9"/>
    <w:rsid w:val="00D049BF"/>
    <w:rsid w:val="00D843C2"/>
    <w:rsid w:val="00E9592C"/>
    <w:rsid w:val="00EF4DB4"/>
    <w:rsid w:val="00F057C1"/>
    <w:rsid w:val="00F410B9"/>
    <w:rsid w:val="00F51736"/>
    <w:rsid w:val="00F81AB0"/>
    <w:rsid w:val="00F93BAD"/>
    <w:rsid w:val="00FA0525"/>
    <w:rsid w:val="00FC3582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9C0EF"/>
  <w15:chartTrackingRefBased/>
  <w15:docId w15:val="{6D3E3DEF-74F9-4073-81C3-E39E577E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37C"/>
    <w:rPr>
      <w:rFonts w:eastAsia="Calibri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0737C"/>
    <w:pPr>
      <w:keepNext/>
      <w:jc w:val="center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0737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semiHidden/>
    <w:locked/>
    <w:rsid w:val="0030737C"/>
    <w:rPr>
      <w:rFonts w:eastAsia="Calibri"/>
      <w:sz w:val="24"/>
      <w:szCs w:val="24"/>
      <w:lang w:val="uk-UA" w:eastAsia="ru-RU" w:bidi="ar-SA"/>
    </w:rPr>
  </w:style>
  <w:style w:type="character" w:styleId="PageNumber">
    <w:name w:val="page number"/>
    <w:semiHidden/>
    <w:rsid w:val="0030737C"/>
    <w:rPr>
      <w:rFonts w:cs="Times New Roman"/>
    </w:rPr>
  </w:style>
  <w:style w:type="character" w:customStyle="1" w:styleId="longtext">
    <w:name w:val="long_text"/>
    <w:rsid w:val="0030737C"/>
  </w:style>
  <w:style w:type="character" w:customStyle="1" w:styleId="hps">
    <w:name w:val="hps"/>
    <w:rsid w:val="0030737C"/>
    <w:rPr>
      <w:rFonts w:cs="Times New Roman"/>
    </w:rPr>
  </w:style>
  <w:style w:type="character" w:customStyle="1" w:styleId="FontStyle14">
    <w:name w:val="Font Style14"/>
    <w:rsid w:val="0030737C"/>
    <w:rPr>
      <w:rFonts w:ascii="Times New Roman" w:hAnsi="Times New Roman" w:cs="Times New Roman"/>
      <w:sz w:val="20"/>
      <w:szCs w:val="20"/>
    </w:rPr>
  </w:style>
  <w:style w:type="character" w:styleId="Emphasis">
    <w:name w:val="Emphasis"/>
    <w:qFormat/>
    <w:rsid w:val="0030737C"/>
    <w:rPr>
      <w:b/>
    </w:rPr>
  </w:style>
  <w:style w:type="paragraph" w:customStyle="1" w:styleId="Default">
    <w:name w:val="Default"/>
    <w:rsid w:val="0030737C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de-DE" w:eastAsia="de-DE"/>
    </w:rPr>
  </w:style>
  <w:style w:type="paragraph" w:customStyle="1" w:styleId="HTMLPreformatted1">
    <w:name w:val="HTML Preformatted1"/>
    <w:basedOn w:val="Normal"/>
    <w:rsid w:val="00307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ar-SA"/>
    </w:rPr>
  </w:style>
  <w:style w:type="character" w:customStyle="1" w:styleId="Heading1Char">
    <w:name w:val="Heading 1 Char"/>
    <w:link w:val="Heading1"/>
    <w:locked/>
    <w:rsid w:val="0030737C"/>
    <w:rPr>
      <w:rFonts w:eastAsia="Calibri"/>
      <w:b/>
      <w:sz w:val="32"/>
      <w:lang w:val="uk-UA" w:eastAsia="ru-RU" w:bidi="ar-SA"/>
    </w:rPr>
  </w:style>
  <w:style w:type="paragraph" w:styleId="ListParagraph">
    <w:name w:val="List Paragraph"/>
    <w:basedOn w:val="Normal"/>
    <w:qFormat/>
    <w:rsid w:val="003073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4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4B80"/>
    <w:rPr>
      <w:rFonts w:ascii="Segoe UI" w:eastAsia="Calibri" w:hAnsi="Segoe UI" w:cs="Segoe UI"/>
      <w:sz w:val="18"/>
      <w:szCs w:val="18"/>
      <w:lang w:eastAsia="ru-RU" w:bidi="ar-SA"/>
    </w:rPr>
  </w:style>
  <w:style w:type="paragraph" w:styleId="Revision">
    <w:name w:val="Revision"/>
    <w:hidden/>
    <w:uiPriority w:val="99"/>
    <w:semiHidden/>
    <w:rsid w:val="007729E9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50A2-F018-4586-835D-C4A143C796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1050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Romashkan,Neonila (AH RA_PV_CO) BI-UA-K</cp:lastModifiedBy>
  <cp:revision>4</cp:revision>
  <cp:lastPrinted>2015-11-12T13:06:00Z</cp:lastPrinted>
  <dcterms:created xsi:type="dcterms:W3CDTF">2025-01-14T09:43:00Z</dcterms:created>
  <dcterms:modified xsi:type="dcterms:W3CDTF">2025-06-03T10:44:00Z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0b529-4a04-4616-88d2-531082d94bb8_Enabled">
    <vt:lpwstr>true</vt:lpwstr>
  </property>
  <property fmtid="{D5CDD505-2E9C-101B-9397-08002B2CF9AE}" pid="3" name="MSIP_Label_bfd0b529-4a04-4616-88d2-531082d94bb8_SetDate">
    <vt:lpwstr>2025-01-14T09:43:16Z</vt:lpwstr>
  </property>
  <property fmtid="{D5CDD505-2E9C-101B-9397-08002B2CF9AE}" pid="4" name="MSIP_Label_bfd0b529-4a04-4616-88d2-531082d94bb8_Method">
    <vt:lpwstr>Standard</vt:lpwstr>
  </property>
  <property fmtid="{D5CDD505-2E9C-101B-9397-08002B2CF9AE}" pid="5" name="MSIP_Label_bfd0b529-4a04-4616-88d2-531082d94bb8_Name">
    <vt:lpwstr>Internal Use</vt:lpwstr>
  </property>
  <property fmtid="{D5CDD505-2E9C-101B-9397-08002B2CF9AE}" pid="6" name="MSIP_Label_bfd0b529-4a04-4616-88d2-531082d94bb8_SiteId">
    <vt:lpwstr>e1f8af86-ee95-4718-bd0d-375b37366c83</vt:lpwstr>
  </property>
  <property fmtid="{D5CDD505-2E9C-101B-9397-08002B2CF9AE}" pid="7" name="MSIP_Label_bfd0b529-4a04-4616-88d2-531082d94bb8_ActionId">
    <vt:lpwstr>fbd01cf8-176e-4151-92ca-a0403f4b54b3</vt:lpwstr>
  </property>
  <property fmtid="{D5CDD505-2E9C-101B-9397-08002B2CF9AE}" pid="8" name="MSIP_Label_bfd0b529-4a04-4616-88d2-531082d94bb8_ContentBits">
    <vt:lpwstr>0</vt:lpwstr>
  </property>
</Properties>
</file>