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8434" w14:textId="77777777" w:rsidR="00862B3A" w:rsidRDefault="00862B3A" w:rsidP="00EC4279">
      <w:pPr>
        <w:jc w:val="center"/>
        <w:rPr>
          <w:b/>
        </w:rPr>
      </w:pPr>
    </w:p>
    <w:p w14:paraId="59307A3C" w14:textId="77777777" w:rsidR="00EC4279" w:rsidRPr="00493919" w:rsidRDefault="00EC4279" w:rsidP="00EC4279">
      <w:pPr>
        <w:jc w:val="center"/>
        <w:rPr>
          <w:b/>
        </w:rPr>
      </w:pPr>
      <w:r w:rsidRPr="00493919">
        <w:rPr>
          <w:b/>
        </w:rPr>
        <w:t>Коротка характеристика препарату</w:t>
      </w:r>
    </w:p>
    <w:p w14:paraId="33CE243E" w14:textId="77777777" w:rsidR="00EC4279" w:rsidRPr="007C0B41" w:rsidRDefault="00EC4279" w:rsidP="00EC4279">
      <w:pPr>
        <w:jc w:val="center"/>
        <w:rPr>
          <w:b/>
        </w:rPr>
      </w:pPr>
    </w:p>
    <w:p w14:paraId="06512D34" w14:textId="77777777" w:rsidR="00EC4279" w:rsidRPr="007C0B41" w:rsidRDefault="00EC4279" w:rsidP="00EC4279">
      <w:pPr>
        <w:tabs>
          <w:tab w:val="left" w:pos="284"/>
        </w:tabs>
        <w:jc w:val="both"/>
        <w:rPr>
          <w:b/>
        </w:rPr>
      </w:pPr>
      <w:r w:rsidRPr="007C0B41">
        <w:rPr>
          <w:b/>
        </w:rPr>
        <w:t>1. Назва ветеринарного препарату</w:t>
      </w:r>
    </w:p>
    <w:p w14:paraId="733FCCB9" w14:textId="77777777" w:rsidR="00EC4279" w:rsidRPr="007C0B41" w:rsidRDefault="00EC4279" w:rsidP="00EC4279">
      <w:pPr>
        <w:tabs>
          <w:tab w:val="left" w:pos="-1080"/>
          <w:tab w:val="left" w:pos="-720"/>
          <w:tab w:val="left" w:pos="0"/>
          <w:tab w:val="left" w:pos="714"/>
          <w:tab w:val="left" w:pos="2160"/>
        </w:tabs>
        <w:jc w:val="both"/>
      </w:pPr>
      <w:r w:rsidRPr="007C0B41">
        <w:t xml:space="preserve">ПРЕВЕКСІОН РН, </w:t>
      </w:r>
      <w:r w:rsidRPr="007C0B41">
        <w:rPr>
          <w:rFonts w:eastAsia="Arial Unicode MS" w:cs="Arial Unicode MS"/>
          <w:lang w:val="en-GB" w:eastAsia="uk-UA" w:bidi="uk-UA"/>
        </w:rPr>
        <w:t>PREVEXXION</w:t>
      </w:r>
      <w:r w:rsidRPr="007C0B41">
        <w:rPr>
          <w:rFonts w:eastAsia="Arial Unicode MS" w:cs="Arial Unicode MS"/>
          <w:lang w:eastAsia="uk-UA" w:bidi="uk-UA"/>
        </w:rPr>
        <w:t xml:space="preserve"> </w:t>
      </w:r>
      <w:r w:rsidRPr="007C0B41">
        <w:rPr>
          <w:rFonts w:eastAsia="Arial Unicode MS" w:cs="Arial Unicode MS"/>
          <w:lang w:val="en-GB" w:eastAsia="uk-UA" w:bidi="uk-UA"/>
        </w:rPr>
        <w:t>RN</w:t>
      </w:r>
      <w:r w:rsidRPr="007C0B41">
        <w:rPr>
          <w:rFonts w:eastAsia="Arial Unicode MS" w:cs="Arial Unicode MS"/>
          <w:lang w:eastAsia="uk-UA" w:bidi="uk-UA"/>
        </w:rPr>
        <w:t xml:space="preserve"> </w:t>
      </w:r>
      <w:r w:rsidRPr="007C0B41">
        <w:t>– вакцина жива рекомбінантна проти хвороби Марека.</w:t>
      </w:r>
    </w:p>
    <w:p w14:paraId="719DD52F" w14:textId="77777777" w:rsidR="00EC4279" w:rsidRPr="007C0B41" w:rsidRDefault="00EC4279" w:rsidP="00EC4279">
      <w:pPr>
        <w:tabs>
          <w:tab w:val="left" w:pos="-1080"/>
          <w:tab w:val="left" w:pos="-720"/>
          <w:tab w:val="left" w:pos="0"/>
          <w:tab w:val="left" w:pos="714"/>
          <w:tab w:val="left" w:pos="2160"/>
        </w:tabs>
        <w:jc w:val="both"/>
        <w:rPr>
          <w:b/>
        </w:rPr>
      </w:pPr>
      <w:r w:rsidRPr="007C0B41">
        <w:rPr>
          <w:b/>
        </w:rPr>
        <w:t>2. Якісний і кількісний склад</w:t>
      </w:r>
    </w:p>
    <w:p w14:paraId="4F084F34" w14:textId="3B4B77BB" w:rsidR="00EC4279" w:rsidRPr="007C0B41" w:rsidRDefault="00625F87" w:rsidP="00EC4279">
      <w:pPr>
        <w:jc w:val="both"/>
      </w:pPr>
      <w:bookmarkStart w:id="0" w:name="_Hlk198570451"/>
      <w:r w:rsidRPr="00625F87">
        <w:t>Кожна доза вакцини в кінці терміну придатності повинна містити не менше:</w:t>
      </w:r>
      <w:bookmarkEnd w:id="0"/>
      <w:r w:rsidR="00EC4279" w:rsidRPr="007C0B41">
        <w:t>:</w:t>
      </w:r>
    </w:p>
    <w:p w14:paraId="0CD363B9" w14:textId="77777777" w:rsidR="00EC4279" w:rsidRPr="000C43A4" w:rsidRDefault="000C43A4" w:rsidP="00EC4279">
      <w:pPr>
        <w:tabs>
          <w:tab w:val="left" w:pos="284"/>
        </w:tabs>
        <w:jc w:val="both"/>
        <w:rPr>
          <w:i/>
        </w:rPr>
      </w:pPr>
      <w:r w:rsidRPr="000C43A4">
        <w:rPr>
          <w:i/>
        </w:rPr>
        <w:t>А</w:t>
      </w:r>
      <w:r w:rsidR="00EC4279" w:rsidRPr="000C43A4">
        <w:rPr>
          <w:i/>
        </w:rPr>
        <w:t>ктивнодіючу речовину:</w:t>
      </w:r>
    </w:p>
    <w:p w14:paraId="24A55DEA" w14:textId="461E62E8" w:rsidR="00EC4279" w:rsidRPr="00B6084E" w:rsidRDefault="00EC4279" w:rsidP="00EC4279">
      <w:pPr>
        <w:tabs>
          <w:tab w:val="left" w:pos="284"/>
        </w:tabs>
        <w:jc w:val="both"/>
      </w:pPr>
      <w:r w:rsidRPr="007C0B41">
        <w:t>живий вірус хвороби Марека, серотип 1, штам</w:t>
      </w:r>
      <w:r w:rsidRPr="00353B0A">
        <w:t xml:space="preserve"> </w:t>
      </w:r>
      <w:r w:rsidR="009E2294">
        <w:t>«</w:t>
      </w:r>
      <w:r w:rsidRPr="00353B0A">
        <w:t>RN 1250</w:t>
      </w:r>
      <w:r w:rsidR="009E2294">
        <w:t>»</w:t>
      </w:r>
      <w:r w:rsidRPr="00353B0A">
        <w:t xml:space="preserve"> ……..</w:t>
      </w:r>
      <w:r>
        <w:t>.....</w:t>
      </w:r>
      <w:r w:rsidR="00E61336">
        <w:t>.</w:t>
      </w:r>
      <w:r w:rsidR="003429F2">
        <w:t>.</w:t>
      </w:r>
      <w:r w:rsidR="00EF2601" w:rsidRPr="00EF2601">
        <w:t>....</w:t>
      </w:r>
      <w:r w:rsidR="003429F2">
        <w:t>......</w:t>
      </w:r>
      <w:r>
        <w:t>....</w:t>
      </w:r>
      <w:r w:rsidRPr="00B6084E">
        <w:t xml:space="preserve">щонайменше 952 </w:t>
      </w:r>
      <w:bookmarkStart w:id="1" w:name="_Hlk198570474"/>
      <w:r w:rsidR="00625F87">
        <w:t>БУО*</w:t>
      </w:r>
      <w:bookmarkEnd w:id="1"/>
      <w:r w:rsidRPr="00B6084E">
        <w:t>;</w:t>
      </w:r>
    </w:p>
    <w:p w14:paraId="7710AC33" w14:textId="77777777" w:rsidR="00EC4279" w:rsidRPr="00B6084E" w:rsidRDefault="000C43A4" w:rsidP="00EC4279">
      <w:pPr>
        <w:tabs>
          <w:tab w:val="left" w:pos="284"/>
        </w:tabs>
        <w:jc w:val="both"/>
        <w:rPr>
          <w:i/>
          <w:iCs/>
        </w:rPr>
      </w:pPr>
      <w:r w:rsidRPr="00B6084E">
        <w:rPr>
          <w:i/>
          <w:iCs/>
        </w:rPr>
        <w:t>Д</w:t>
      </w:r>
      <w:r w:rsidR="00EC4279" w:rsidRPr="00B6084E">
        <w:rPr>
          <w:i/>
          <w:iCs/>
        </w:rPr>
        <w:t>опоміжні речовини:</w:t>
      </w:r>
    </w:p>
    <w:p w14:paraId="55AB2AB2" w14:textId="77777777" w:rsidR="00EC4279" w:rsidRPr="00B6084E" w:rsidRDefault="00EC4279" w:rsidP="00EC4279">
      <w:pPr>
        <w:tabs>
          <w:tab w:val="left" w:pos="284"/>
        </w:tabs>
        <w:jc w:val="both"/>
      </w:pPr>
      <w:r w:rsidRPr="00B6084E">
        <w:t>ДМСО/ розчин</w:t>
      </w:r>
      <w:r w:rsidR="00D955C5" w:rsidRPr="00B6084E">
        <w:rPr>
          <w:lang w:val="ru-RU"/>
        </w:rPr>
        <w:t xml:space="preserve"> </w:t>
      </w:r>
      <w:r w:rsidR="00D955C5" w:rsidRPr="00B6084E">
        <w:t>для заморожування</w:t>
      </w:r>
      <w:r w:rsidRPr="00B6084E">
        <w:t>………………………………</w:t>
      </w:r>
      <w:r w:rsidR="00862B3A" w:rsidRPr="00B6084E">
        <w:t>................................</w:t>
      </w:r>
      <w:r w:rsidRPr="00B6084E">
        <w:t>……………..7,5%;</w:t>
      </w:r>
    </w:p>
    <w:p w14:paraId="2291C668" w14:textId="77777777" w:rsidR="00D955C5" w:rsidRPr="00B6084E" w:rsidRDefault="00EC4279" w:rsidP="00EC4279">
      <w:pPr>
        <w:tabs>
          <w:tab w:val="left" w:pos="284"/>
        </w:tabs>
        <w:jc w:val="both"/>
      </w:pPr>
      <w:r w:rsidRPr="00B6084E">
        <w:t>середовище</w:t>
      </w:r>
      <w:r w:rsidR="00D955C5" w:rsidRPr="00B6084E">
        <w:t xml:space="preserve"> для заморожування</w:t>
      </w:r>
      <w:r w:rsidRPr="00B6084E">
        <w:t>...........................................</w:t>
      </w:r>
      <w:r w:rsidR="00862B3A" w:rsidRPr="00B6084E">
        <w:t>...................</w:t>
      </w:r>
      <w:r w:rsidRPr="00B6084E">
        <w:t>..додається до утворення 1 дози.</w:t>
      </w:r>
    </w:p>
    <w:p w14:paraId="4D755228" w14:textId="77777777" w:rsidR="00EC4279" w:rsidRDefault="00D955C5" w:rsidP="00862B3A">
      <w:pPr>
        <w:tabs>
          <w:tab w:val="left" w:pos="284"/>
        </w:tabs>
        <w:jc w:val="both"/>
      </w:pPr>
      <w:r w:rsidRPr="00B6084E">
        <w:t>Містить стрептоміцину сульфат і пеніцилін в якості бактеріостатичних агентів та амфотерицин В в якості фунгістатичного агенту</w:t>
      </w:r>
      <w:r w:rsidR="009F35A2" w:rsidRPr="00B6084E">
        <w:t>.</w:t>
      </w:r>
      <w:r w:rsidR="00EC4279" w:rsidRPr="00B6084E">
        <w:t xml:space="preserve">  </w:t>
      </w:r>
    </w:p>
    <w:p w14:paraId="0F4F18F4" w14:textId="0EDBFB68" w:rsidR="00625F87" w:rsidRPr="006C7331" w:rsidRDefault="00625F87" w:rsidP="00862B3A">
      <w:pPr>
        <w:tabs>
          <w:tab w:val="left" w:pos="284"/>
        </w:tabs>
        <w:jc w:val="both"/>
        <w:rPr>
          <w:i/>
          <w:iCs/>
        </w:rPr>
      </w:pPr>
      <w:bookmarkStart w:id="2" w:name="_Hlk198570494"/>
      <w:r w:rsidRPr="006C7331">
        <w:rPr>
          <w:i/>
          <w:iCs/>
        </w:rPr>
        <w:t xml:space="preserve">* БУО - </w:t>
      </w:r>
      <w:r w:rsidRPr="00625F87">
        <w:rPr>
          <w:i/>
          <w:iCs/>
        </w:rPr>
        <w:t>бляшко утворююча одиниця</w:t>
      </w:r>
      <w:r>
        <w:rPr>
          <w:i/>
          <w:iCs/>
        </w:rPr>
        <w:t>.</w:t>
      </w:r>
    </w:p>
    <w:bookmarkEnd w:id="2"/>
    <w:p w14:paraId="28DDA239" w14:textId="77777777" w:rsidR="00EC4279" w:rsidRPr="00B6084E" w:rsidRDefault="00EC4279" w:rsidP="00EC4279">
      <w:pPr>
        <w:tabs>
          <w:tab w:val="left" w:pos="284"/>
        </w:tabs>
        <w:jc w:val="both"/>
        <w:rPr>
          <w:b/>
        </w:rPr>
      </w:pPr>
      <w:r w:rsidRPr="00B6084E">
        <w:rPr>
          <w:b/>
        </w:rPr>
        <w:t>3. Фармацевтична форма</w:t>
      </w:r>
    </w:p>
    <w:p w14:paraId="59A52871" w14:textId="77777777" w:rsidR="00EC4279" w:rsidRPr="00B6084E" w:rsidRDefault="00EC4279" w:rsidP="00EC4279">
      <w:pPr>
        <w:tabs>
          <w:tab w:val="left" w:pos="284"/>
        </w:tabs>
        <w:jc w:val="both"/>
      </w:pPr>
      <w:r w:rsidRPr="00B6084E">
        <w:t>Заморожена суспензія.</w:t>
      </w:r>
    </w:p>
    <w:p w14:paraId="300D58AF" w14:textId="77777777" w:rsidR="00EC4279" w:rsidRPr="00B6084E" w:rsidRDefault="00EC4279" w:rsidP="00EC4279">
      <w:pPr>
        <w:tabs>
          <w:tab w:val="left" w:pos="284"/>
        </w:tabs>
        <w:jc w:val="both"/>
        <w:rPr>
          <w:b/>
        </w:rPr>
      </w:pPr>
      <w:r w:rsidRPr="00B6084E">
        <w:rPr>
          <w:b/>
        </w:rPr>
        <w:t>4. Імунобіологічні властивості</w:t>
      </w:r>
    </w:p>
    <w:p w14:paraId="0B0FFF0E" w14:textId="77777777" w:rsidR="00EC4279" w:rsidRPr="00B6084E" w:rsidRDefault="00EC4279" w:rsidP="00EC4279">
      <w:pPr>
        <w:tabs>
          <w:tab w:val="left" w:pos="284"/>
        </w:tabs>
        <w:jc w:val="both"/>
      </w:pPr>
      <w:r w:rsidRPr="00B6084E">
        <w:t xml:space="preserve">Жива рекомбінантна вакцина містить заморожений химерний вірус хвороби Марека, що складається з трьох штамів серотипу 1, та стимулює розвиток активного імунітету проти хвороби Марека у курчат у випадках високої вірулентності вірусу. </w:t>
      </w:r>
    </w:p>
    <w:p w14:paraId="7FB86884" w14:textId="77777777" w:rsidR="00EC4279" w:rsidRPr="00B6084E" w:rsidRDefault="00EC4279" w:rsidP="00EC4279">
      <w:pPr>
        <w:tabs>
          <w:tab w:val="left" w:pos="284"/>
        </w:tabs>
        <w:jc w:val="both"/>
      </w:pPr>
      <w:r w:rsidRPr="00B6084E">
        <w:t xml:space="preserve">Дана вакцина представлена у замороженій формі в одній ампулі, що містить суспензію клітин курячих ембріонів, інфікованих вірусом RN1250. </w:t>
      </w:r>
    </w:p>
    <w:p w14:paraId="608E8524" w14:textId="77777777" w:rsidR="00EC4279" w:rsidRPr="00936560" w:rsidRDefault="00EC4279" w:rsidP="00EC4279">
      <w:pPr>
        <w:tabs>
          <w:tab w:val="left" w:pos="284"/>
        </w:tabs>
        <w:jc w:val="both"/>
      </w:pPr>
      <w:r w:rsidRPr="00B6084E">
        <w:t xml:space="preserve">Період розвитку імунітету: </w:t>
      </w:r>
      <w:r w:rsidR="00D842E2" w:rsidRPr="00B6084E">
        <w:t>5 діб</w:t>
      </w:r>
      <w:r w:rsidRPr="00B6084E">
        <w:t>.</w:t>
      </w:r>
    </w:p>
    <w:p w14:paraId="56969337" w14:textId="77777777" w:rsidR="00EC4279" w:rsidRPr="00625F87" w:rsidRDefault="00EC4279" w:rsidP="00EC4279">
      <w:pPr>
        <w:tabs>
          <w:tab w:val="left" w:pos="284"/>
        </w:tabs>
        <w:jc w:val="both"/>
      </w:pPr>
      <w:r w:rsidRPr="00936560">
        <w:t>Тривалість імунітету: протягом періоду ризику зараження.</w:t>
      </w:r>
    </w:p>
    <w:p w14:paraId="699A765A" w14:textId="77777777" w:rsidR="00EC4279" w:rsidRPr="00936560" w:rsidRDefault="00EC4279" w:rsidP="00EC4279">
      <w:pPr>
        <w:tabs>
          <w:tab w:val="left" w:pos="284"/>
        </w:tabs>
        <w:jc w:val="both"/>
        <w:rPr>
          <w:b/>
        </w:rPr>
      </w:pPr>
      <w:r w:rsidRPr="00936560">
        <w:rPr>
          <w:b/>
        </w:rPr>
        <w:t>5. Клінічні особливості</w:t>
      </w:r>
    </w:p>
    <w:p w14:paraId="65BB3E93" w14:textId="77777777" w:rsidR="00EC4279" w:rsidRPr="00936560" w:rsidRDefault="00EC4279" w:rsidP="00EC4279">
      <w:pPr>
        <w:tabs>
          <w:tab w:val="left" w:pos="284"/>
        </w:tabs>
        <w:jc w:val="both"/>
        <w:rPr>
          <w:b/>
        </w:rPr>
      </w:pPr>
      <w:r w:rsidRPr="00936560">
        <w:rPr>
          <w:b/>
        </w:rPr>
        <w:t>5.1. Вид тварин</w:t>
      </w:r>
    </w:p>
    <w:p w14:paraId="5B5C6C1C" w14:textId="77777777" w:rsidR="00EC4279" w:rsidRPr="00140100" w:rsidRDefault="00EC4279" w:rsidP="00EC4279">
      <w:pPr>
        <w:pStyle w:val="Style8"/>
        <w:widowControl/>
        <w:tabs>
          <w:tab w:val="left" w:pos="284"/>
        </w:tabs>
        <w:spacing w:line="240" w:lineRule="auto"/>
        <w:rPr>
          <w:lang w:val="uk-UA"/>
        </w:rPr>
      </w:pPr>
      <w:r w:rsidRPr="00140100">
        <w:rPr>
          <w:lang w:val="uk-UA"/>
        </w:rPr>
        <w:t>Кури.</w:t>
      </w:r>
    </w:p>
    <w:p w14:paraId="03AC5ECB" w14:textId="77777777" w:rsidR="00EC4279" w:rsidRPr="00B953EA" w:rsidRDefault="00EC4279" w:rsidP="00EC4279">
      <w:pPr>
        <w:tabs>
          <w:tab w:val="left" w:pos="284"/>
        </w:tabs>
        <w:jc w:val="both"/>
        <w:rPr>
          <w:b/>
        </w:rPr>
      </w:pPr>
      <w:r w:rsidRPr="00B953EA">
        <w:rPr>
          <w:b/>
        </w:rPr>
        <w:t>5.2. Показання до застосування</w:t>
      </w:r>
    </w:p>
    <w:p w14:paraId="06BD4573" w14:textId="77777777" w:rsidR="00EC4279" w:rsidRPr="00140100" w:rsidRDefault="00EC4279" w:rsidP="00EC4279">
      <w:pPr>
        <w:tabs>
          <w:tab w:val="left" w:pos="142"/>
          <w:tab w:val="left" w:pos="284"/>
        </w:tabs>
        <w:jc w:val="both"/>
      </w:pPr>
      <w:r w:rsidRPr="00B953EA">
        <w:t>Вакцина призначена для активної імунізації здорових 18-19-добови</w:t>
      </w:r>
      <w:r w:rsidR="008A50FA">
        <w:t>х</w:t>
      </w:r>
      <w:r w:rsidRPr="00B953EA">
        <w:t xml:space="preserve"> курячих ембріонів методом </w:t>
      </w:r>
      <w:r w:rsidR="008A50FA">
        <w:t xml:space="preserve">   </w:t>
      </w:r>
      <w:r w:rsidRPr="00B953EA">
        <w:rPr>
          <w:i/>
          <w:iCs/>
        </w:rPr>
        <w:t>in ovo</w:t>
      </w:r>
      <w:r w:rsidRPr="00B953EA">
        <w:t xml:space="preserve"> та клінічно здорових добових курчат підшкірно проти високовірулентного вірусу хвороби Марека.</w:t>
      </w:r>
      <w:r w:rsidRPr="00140100">
        <w:t xml:space="preserve"> </w:t>
      </w:r>
    </w:p>
    <w:p w14:paraId="261E0CFE" w14:textId="77777777" w:rsidR="00EC4279" w:rsidRPr="00570E49" w:rsidRDefault="00EC4279" w:rsidP="00EC4279">
      <w:pPr>
        <w:tabs>
          <w:tab w:val="left" w:pos="284"/>
        </w:tabs>
        <w:jc w:val="both"/>
        <w:rPr>
          <w:b/>
        </w:rPr>
      </w:pPr>
      <w:r w:rsidRPr="00570E49">
        <w:rPr>
          <w:b/>
        </w:rPr>
        <w:t>5.3. Протипоказання</w:t>
      </w:r>
    </w:p>
    <w:p w14:paraId="69E5394C" w14:textId="77777777" w:rsidR="00EC4279" w:rsidRPr="00570E49" w:rsidRDefault="00EC4279" w:rsidP="00EC4279">
      <w:pPr>
        <w:tabs>
          <w:tab w:val="left" w:pos="284"/>
        </w:tabs>
        <w:jc w:val="both"/>
      </w:pPr>
      <w:r w:rsidRPr="00570E49">
        <w:t>Не вакцинувати птицю за 21 добу до забою.</w:t>
      </w:r>
    </w:p>
    <w:p w14:paraId="19D40E53" w14:textId="77777777" w:rsidR="00EC4279" w:rsidRPr="00570E49" w:rsidRDefault="00EC4279" w:rsidP="00EC4279">
      <w:pPr>
        <w:tabs>
          <w:tab w:val="left" w:pos="284"/>
        </w:tabs>
        <w:jc w:val="both"/>
        <w:rPr>
          <w:b/>
        </w:rPr>
      </w:pPr>
      <w:r w:rsidRPr="00570E49">
        <w:rPr>
          <w:b/>
        </w:rPr>
        <w:t>5.4. Побічна дія</w:t>
      </w:r>
    </w:p>
    <w:p w14:paraId="77364756" w14:textId="77777777" w:rsidR="00EC4279" w:rsidRPr="00570E49" w:rsidRDefault="00EC4279" w:rsidP="00EC4279">
      <w:pPr>
        <w:tabs>
          <w:tab w:val="left" w:pos="284"/>
        </w:tabs>
        <w:jc w:val="both"/>
      </w:pPr>
      <w:r w:rsidRPr="00570E49">
        <w:t xml:space="preserve">Не виявлена. </w:t>
      </w:r>
    </w:p>
    <w:p w14:paraId="785BAF7E" w14:textId="77777777" w:rsidR="00EC4279" w:rsidRPr="00570E49" w:rsidRDefault="00EC4279" w:rsidP="00EC4279">
      <w:pPr>
        <w:tabs>
          <w:tab w:val="left" w:pos="284"/>
        </w:tabs>
        <w:jc w:val="both"/>
        <w:rPr>
          <w:b/>
        </w:rPr>
      </w:pPr>
      <w:r w:rsidRPr="00570E49">
        <w:rPr>
          <w:b/>
        </w:rPr>
        <w:t>5.5. Особливості застереження при використанні</w:t>
      </w:r>
    </w:p>
    <w:p w14:paraId="70685B59" w14:textId="77777777" w:rsidR="00EC4279" w:rsidRPr="00570E49" w:rsidRDefault="00EC4279" w:rsidP="00EC4279">
      <w:pPr>
        <w:tabs>
          <w:tab w:val="left" w:pos="284"/>
        </w:tabs>
        <w:jc w:val="both"/>
      </w:pPr>
      <w:r w:rsidRPr="00570E49">
        <w:t>Не вакцинувати хворих курчат та ембріони з ознаками патології.</w:t>
      </w:r>
    </w:p>
    <w:p w14:paraId="6E8558CB" w14:textId="77777777" w:rsidR="00EC4279" w:rsidRPr="00570E49" w:rsidRDefault="00EC4279" w:rsidP="00EC4279">
      <w:pPr>
        <w:pStyle w:val="Style3"/>
        <w:widowControl/>
        <w:tabs>
          <w:tab w:val="left" w:pos="142"/>
          <w:tab w:val="left" w:pos="284"/>
        </w:tabs>
        <w:jc w:val="both"/>
        <w:rPr>
          <w:rStyle w:val="FontStyle15"/>
          <w:sz w:val="24"/>
          <w:szCs w:val="24"/>
          <w:lang w:val="uk-UA" w:eastAsia="en-US"/>
        </w:rPr>
      </w:pPr>
      <w:r w:rsidRPr="00570E49">
        <w:rPr>
          <w:rStyle w:val="FontStyle15"/>
          <w:sz w:val="24"/>
          <w:szCs w:val="24"/>
          <w:lang w:val="uk-UA" w:eastAsia="en-US"/>
        </w:rPr>
        <w:t>Вакцинацію необхідно проводити одночасно для всього поголів’я птиці.</w:t>
      </w:r>
    </w:p>
    <w:p w14:paraId="0CAC6081" w14:textId="77777777" w:rsidR="00EC4279" w:rsidRPr="00973F0E" w:rsidRDefault="00EC4279" w:rsidP="00EC4279">
      <w:pPr>
        <w:tabs>
          <w:tab w:val="left" w:pos="284"/>
        </w:tabs>
        <w:jc w:val="both"/>
      </w:pPr>
      <w:r w:rsidRPr="00973F0E">
        <w:t>Вводити всю дозу препарату кожному ембріону або курчаті.</w:t>
      </w:r>
    </w:p>
    <w:p w14:paraId="4BFEF8F9" w14:textId="77777777" w:rsidR="00EC4279" w:rsidRDefault="00EC4279" w:rsidP="00EC4279">
      <w:pPr>
        <w:tabs>
          <w:tab w:val="left" w:pos="284"/>
        </w:tabs>
        <w:jc w:val="both"/>
        <w:rPr>
          <w:rStyle w:val="hps"/>
        </w:rPr>
      </w:pPr>
      <w:r w:rsidRPr="00973F0E">
        <w:rPr>
          <w:rStyle w:val="hps"/>
        </w:rPr>
        <w:t>Уникати</w:t>
      </w:r>
      <w:r w:rsidRPr="00973F0E">
        <w:t xml:space="preserve"> </w:t>
      </w:r>
      <w:r w:rsidRPr="00973F0E">
        <w:rPr>
          <w:rStyle w:val="hps"/>
        </w:rPr>
        <w:t>стресових</w:t>
      </w:r>
      <w:r w:rsidRPr="00973F0E">
        <w:t xml:space="preserve"> </w:t>
      </w:r>
      <w:r w:rsidRPr="00973F0E">
        <w:rPr>
          <w:rStyle w:val="hps"/>
        </w:rPr>
        <w:t>станів</w:t>
      </w:r>
      <w:r w:rsidRPr="00973F0E">
        <w:t xml:space="preserve"> </w:t>
      </w:r>
      <w:r w:rsidRPr="00973F0E">
        <w:rPr>
          <w:rStyle w:val="hps"/>
        </w:rPr>
        <w:t>під час та</w:t>
      </w:r>
      <w:r w:rsidRPr="00973F0E">
        <w:t xml:space="preserve"> </w:t>
      </w:r>
      <w:r w:rsidRPr="00973F0E">
        <w:rPr>
          <w:rStyle w:val="hps"/>
        </w:rPr>
        <w:t>після</w:t>
      </w:r>
      <w:r w:rsidRPr="00973F0E">
        <w:t xml:space="preserve"> </w:t>
      </w:r>
      <w:r w:rsidRPr="00973F0E">
        <w:rPr>
          <w:rStyle w:val="hps"/>
        </w:rPr>
        <w:t>вакцинації.</w:t>
      </w:r>
    </w:p>
    <w:p w14:paraId="0FA24692" w14:textId="77777777" w:rsidR="00EC4279" w:rsidRDefault="00EC4279" w:rsidP="00EC4279">
      <w:pPr>
        <w:tabs>
          <w:tab w:val="left" w:pos="284"/>
        </w:tabs>
        <w:jc w:val="both"/>
      </w:pPr>
      <w:r>
        <w:t>Не розміщувати курчат</w:t>
      </w:r>
      <w:r w:rsidRPr="00973F0E">
        <w:t xml:space="preserve"> у забруднених приміщеннях</w:t>
      </w:r>
      <w:r>
        <w:t>.</w:t>
      </w:r>
    </w:p>
    <w:p w14:paraId="5F7A07E8" w14:textId="77777777" w:rsidR="00EC4279" w:rsidRDefault="00EC4279" w:rsidP="00EC4279">
      <w:pPr>
        <w:tabs>
          <w:tab w:val="left" w:pos="284"/>
        </w:tabs>
        <w:jc w:val="both"/>
      </w:pPr>
      <w:r>
        <w:t>Мінімізувати поширення зараження</w:t>
      </w:r>
      <w:r w:rsidRPr="00973F0E">
        <w:t xml:space="preserve"> наскільки це можливо.</w:t>
      </w:r>
    </w:p>
    <w:p w14:paraId="678E4A50" w14:textId="77777777" w:rsidR="00EC4279" w:rsidRDefault="00EC4279" w:rsidP="00EC4279">
      <w:pPr>
        <w:tabs>
          <w:tab w:val="left" w:pos="284"/>
        </w:tabs>
        <w:jc w:val="both"/>
      </w:pPr>
      <w:r>
        <w:t>Лише для застосування у ветеринарній медицині.</w:t>
      </w:r>
    </w:p>
    <w:p w14:paraId="58C5C2A4" w14:textId="77777777" w:rsidR="00EC4279" w:rsidRDefault="00EC4279" w:rsidP="00862B3A">
      <w:pPr>
        <w:tabs>
          <w:tab w:val="left" w:pos="284"/>
        </w:tabs>
        <w:jc w:val="both"/>
      </w:pPr>
      <w:r w:rsidRPr="006277BE">
        <w:t xml:space="preserve">Вакцинний штам містить послідовності довгих кінцевих повторів (LTR) ретровірусів, що можуть перешкоджати </w:t>
      </w:r>
      <w:r w:rsidRPr="00B6084E">
        <w:t>моніторингу</w:t>
      </w:r>
      <w:r w:rsidR="002E4A9E" w:rsidRPr="00B6084E">
        <w:t xml:space="preserve"> наявності </w:t>
      </w:r>
      <w:r w:rsidRPr="00B6084E">
        <w:t>вірусу ретикулоендотеліозу (REV)</w:t>
      </w:r>
      <w:r w:rsidR="002E4A9E" w:rsidRPr="00B6084E">
        <w:t xml:space="preserve"> методом LTR-вмісної ПЛР</w:t>
      </w:r>
      <w:r w:rsidRPr="007A49D9">
        <w:t>.</w:t>
      </w:r>
    </w:p>
    <w:p w14:paraId="35C8F6C7" w14:textId="77777777" w:rsidR="00EC4279" w:rsidRPr="00973F0E" w:rsidRDefault="00EC4279" w:rsidP="00EC4279">
      <w:pPr>
        <w:tabs>
          <w:tab w:val="left" w:pos="284"/>
        </w:tabs>
        <w:jc w:val="both"/>
        <w:rPr>
          <w:b/>
        </w:rPr>
      </w:pPr>
      <w:r w:rsidRPr="00973F0E">
        <w:rPr>
          <w:b/>
        </w:rPr>
        <w:t>5.6. Застосування під час несучості</w:t>
      </w:r>
    </w:p>
    <w:p w14:paraId="79B00B07" w14:textId="77777777" w:rsidR="00EC4279" w:rsidRPr="00973F0E" w:rsidRDefault="00EC4279" w:rsidP="00EC4279">
      <w:pPr>
        <w:tabs>
          <w:tab w:val="left" w:pos="284"/>
        </w:tabs>
        <w:jc w:val="both"/>
      </w:pPr>
      <w:r w:rsidRPr="00973F0E">
        <w:t>Не застосовується.</w:t>
      </w:r>
    </w:p>
    <w:p w14:paraId="71A40A78" w14:textId="77777777" w:rsidR="00EC4279" w:rsidRPr="00973F0E" w:rsidRDefault="00EC4279" w:rsidP="00EC4279">
      <w:pPr>
        <w:tabs>
          <w:tab w:val="left" w:pos="284"/>
        </w:tabs>
        <w:jc w:val="both"/>
        <w:rPr>
          <w:b/>
        </w:rPr>
      </w:pPr>
      <w:r w:rsidRPr="00973F0E">
        <w:rPr>
          <w:b/>
        </w:rPr>
        <w:t>5.7. Взаємодія з іншими засобами та інші форми взаємодії</w:t>
      </w:r>
    </w:p>
    <w:p w14:paraId="3D329268" w14:textId="77777777" w:rsidR="00EC4279" w:rsidRDefault="00EC4279" w:rsidP="00EC4279">
      <w:pPr>
        <w:tabs>
          <w:tab w:val="left" w:pos="284"/>
        </w:tabs>
        <w:jc w:val="both"/>
      </w:pPr>
      <w:r w:rsidRPr="00973F0E">
        <w:t>Не виявлено.</w:t>
      </w:r>
    </w:p>
    <w:p w14:paraId="58278083" w14:textId="77777777" w:rsidR="00C46BB8" w:rsidRDefault="00C46BB8" w:rsidP="00EC4279">
      <w:pPr>
        <w:tabs>
          <w:tab w:val="left" w:pos="284"/>
        </w:tabs>
        <w:jc w:val="both"/>
        <w:rPr>
          <w:b/>
        </w:rPr>
      </w:pPr>
    </w:p>
    <w:p w14:paraId="7E7A0E88" w14:textId="77777777" w:rsidR="00EC4279" w:rsidRPr="00B953EA" w:rsidRDefault="00EC4279" w:rsidP="00EC4279">
      <w:pPr>
        <w:tabs>
          <w:tab w:val="left" w:pos="284"/>
        </w:tabs>
        <w:jc w:val="both"/>
        <w:rPr>
          <w:b/>
        </w:rPr>
      </w:pPr>
      <w:r w:rsidRPr="00B953EA">
        <w:rPr>
          <w:b/>
        </w:rPr>
        <w:t>5.8. Дози і способи введення тваринам різного віку</w:t>
      </w:r>
    </w:p>
    <w:p w14:paraId="2B8C7BA8" w14:textId="77777777" w:rsidR="00EC4279" w:rsidRPr="00CD447C" w:rsidRDefault="00EC4279" w:rsidP="00862B3A">
      <w:pPr>
        <w:tabs>
          <w:tab w:val="left" w:pos="142"/>
          <w:tab w:val="left" w:pos="284"/>
        </w:tabs>
        <w:jc w:val="both"/>
      </w:pPr>
      <w:r w:rsidRPr="00B953EA">
        <w:lastRenderedPageBreak/>
        <w:t xml:space="preserve">Вакцину вводять </w:t>
      </w:r>
      <w:r w:rsidRPr="00B953EA">
        <w:rPr>
          <w:i/>
        </w:rPr>
        <w:t>in ovo</w:t>
      </w:r>
      <w:r w:rsidRPr="00B953EA">
        <w:rPr>
          <w:b/>
        </w:rPr>
        <w:t xml:space="preserve"> </w:t>
      </w:r>
      <w:r w:rsidRPr="00B953EA">
        <w:t>(</w:t>
      </w:r>
      <w:r w:rsidRPr="00B953EA">
        <w:rPr>
          <w:bCs/>
        </w:rPr>
        <w:t>в яйце) 18-19</w:t>
      </w:r>
      <w:r w:rsidRPr="00B953EA">
        <w:rPr>
          <w:b/>
          <w:bCs/>
        </w:rPr>
        <w:t>-</w:t>
      </w:r>
      <w:r w:rsidRPr="00B953EA">
        <w:rPr>
          <w:bCs/>
        </w:rPr>
        <w:t>добовим ембріонам у дозі 0,05</w:t>
      </w:r>
      <w:r w:rsidR="008A50FA">
        <w:rPr>
          <w:bCs/>
        </w:rPr>
        <w:t xml:space="preserve"> мл під хоріоналантоїсну</w:t>
      </w:r>
      <w:r w:rsidR="008A50FA" w:rsidRPr="008A50FA">
        <w:rPr>
          <w:bCs/>
        </w:rPr>
        <w:t xml:space="preserve"> </w:t>
      </w:r>
      <w:r w:rsidR="008A50FA">
        <w:rPr>
          <w:bCs/>
        </w:rPr>
        <w:t xml:space="preserve"> оболонку</w:t>
      </w:r>
      <w:r w:rsidRPr="00B953EA">
        <w:rPr>
          <w:bCs/>
        </w:rPr>
        <w:t xml:space="preserve"> та </w:t>
      </w:r>
      <w:r w:rsidRPr="00B953EA">
        <w:t>курчатам підшкірно у дорсальну ділянку шиї у дозі 0,2 мл вакцини одноразово.</w:t>
      </w:r>
      <w:r w:rsidRPr="00301C6A">
        <w:t xml:space="preserve"> </w:t>
      </w:r>
    </w:p>
    <w:p w14:paraId="4770A66F" w14:textId="77777777" w:rsidR="00EC4279" w:rsidRDefault="00EC4279" w:rsidP="00EC4279">
      <w:pPr>
        <w:pStyle w:val="Style7"/>
        <w:widowControl/>
        <w:spacing w:line="240" w:lineRule="auto"/>
        <w:rPr>
          <w:rFonts w:ascii="Times New Roman" w:hAnsi="Times New Roman"/>
          <w:b/>
          <w:bCs/>
          <w:lang w:val="uk-UA"/>
        </w:rPr>
      </w:pPr>
      <w:bookmarkStart w:id="3" w:name="OLE_LINK120"/>
      <w:bookmarkStart w:id="4" w:name="OLE_LINK119"/>
      <w:r w:rsidRPr="007A49D9">
        <w:rPr>
          <w:rFonts w:ascii="Times New Roman" w:hAnsi="Times New Roman"/>
          <w:b/>
          <w:bCs/>
          <w:lang w:val="uk-UA"/>
        </w:rPr>
        <w:t>Приготування вакцини:</w:t>
      </w:r>
    </w:p>
    <w:p w14:paraId="47ADD853" w14:textId="77777777" w:rsidR="00EC4279" w:rsidRDefault="00EC4279" w:rsidP="00EC4279">
      <w:pPr>
        <w:pStyle w:val="Style7"/>
        <w:widowControl/>
        <w:spacing w:line="240" w:lineRule="auto"/>
        <w:rPr>
          <w:rFonts w:ascii="Times New Roman" w:hAnsi="Times New Roman"/>
          <w:lang w:val="uk-UA"/>
        </w:rPr>
      </w:pPr>
      <w:r w:rsidRPr="00CE6DC9">
        <w:rPr>
          <w:rFonts w:ascii="Times New Roman" w:hAnsi="Times New Roman"/>
          <w:lang w:val="uk-UA"/>
        </w:rPr>
        <w:t>Для приготування вакцини</w:t>
      </w:r>
      <w:r>
        <w:rPr>
          <w:rFonts w:ascii="Times New Roman" w:hAnsi="Times New Roman"/>
          <w:lang w:val="uk-UA"/>
        </w:rPr>
        <w:t xml:space="preserve"> необхідно взяти одну ампулу вакцини </w:t>
      </w:r>
      <w:r w:rsidRPr="00B6084E">
        <w:rPr>
          <w:rFonts w:ascii="Times New Roman" w:hAnsi="Times New Roman"/>
          <w:lang w:val="uk-UA"/>
        </w:rPr>
        <w:t xml:space="preserve">та </w:t>
      </w:r>
      <w:r w:rsidR="00A82392" w:rsidRPr="00B6084E">
        <w:rPr>
          <w:rFonts w:ascii="Times New Roman" w:hAnsi="Times New Roman"/>
          <w:lang w:val="uk-UA"/>
        </w:rPr>
        <w:t xml:space="preserve">один </w:t>
      </w:r>
      <w:r w:rsidR="00F07124" w:rsidRPr="00B6084E">
        <w:rPr>
          <w:rFonts w:ascii="Times New Roman" w:hAnsi="Times New Roman"/>
          <w:lang w:val="uk-UA"/>
        </w:rPr>
        <w:t>пакет</w:t>
      </w:r>
      <w:r w:rsidRPr="00B6084E">
        <w:rPr>
          <w:rFonts w:ascii="Times New Roman" w:hAnsi="Times New Roman"/>
          <w:lang w:val="uk-UA"/>
        </w:rPr>
        <w:t xml:space="preserve"> стерильного розріджувача</w:t>
      </w:r>
      <w:r w:rsidR="00F07124" w:rsidRPr="00B6084E">
        <w:rPr>
          <w:rFonts w:ascii="Times New Roman" w:hAnsi="Times New Roman"/>
          <w:lang w:val="uk-UA"/>
        </w:rPr>
        <w:t xml:space="preserve"> необхідного об’єму</w:t>
      </w:r>
      <w:r w:rsidRPr="00B6084E">
        <w:rPr>
          <w:rFonts w:ascii="Times New Roman" w:hAnsi="Times New Roman"/>
          <w:lang w:val="uk-UA"/>
        </w:rPr>
        <w:t>. Використ</w:t>
      </w:r>
      <w:r w:rsidR="00F07124" w:rsidRPr="00B6084E">
        <w:rPr>
          <w:rFonts w:ascii="Times New Roman" w:hAnsi="Times New Roman"/>
          <w:lang w:val="uk-UA"/>
        </w:rPr>
        <w:t>овувати</w:t>
      </w:r>
      <w:r w:rsidRPr="00B6084E">
        <w:rPr>
          <w:rFonts w:ascii="Times New Roman" w:hAnsi="Times New Roman"/>
          <w:lang w:val="uk-UA"/>
        </w:rPr>
        <w:t xml:space="preserve"> 200 мл стерильного розріджувача</w:t>
      </w:r>
      <w:r w:rsidRPr="00D23CBA">
        <w:rPr>
          <w:rFonts w:ascii="Times New Roman" w:hAnsi="Times New Roman"/>
          <w:lang w:val="uk-UA"/>
        </w:rPr>
        <w:t xml:space="preserve"> для кожних 1000 доз вакцини при підшкірному введенні  або для кожних 4000 доз для застосування методом </w:t>
      </w:r>
      <w:r w:rsidRPr="00D23CBA">
        <w:rPr>
          <w:rFonts w:ascii="Times New Roman" w:hAnsi="Times New Roman"/>
          <w:i/>
          <w:iCs/>
          <w:lang w:val="uk-UA"/>
        </w:rPr>
        <w:t>in ovo</w:t>
      </w:r>
      <w:r w:rsidRPr="00D23CBA">
        <w:rPr>
          <w:rFonts w:ascii="Times New Roman" w:hAnsi="Times New Roman"/>
          <w:lang w:val="uk-UA"/>
        </w:rPr>
        <w:t>.</w:t>
      </w:r>
    </w:p>
    <w:p w14:paraId="7350C67C" w14:textId="77777777" w:rsidR="00EC4279" w:rsidRDefault="00EC4279" w:rsidP="00EC4279">
      <w:pPr>
        <w:pStyle w:val="Style7"/>
        <w:widowControl/>
        <w:numPr>
          <w:ilvl w:val="0"/>
          <w:numId w:val="1"/>
        </w:numPr>
        <w:spacing w:line="240" w:lineRule="auto"/>
        <w:rPr>
          <w:rFonts w:ascii="Times New Roman" w:hAnsi="Times New Roman"/>
          <w:lang w:val="uk-UA"/>
        </w:rPr>
      </w:pPr>
      <w:r>
        <w:rPr>
          <w:rFonts w:ascii="Times New Roman" w:hAnsi="Times New Roman"/>
          <w:lang w:val="uk-UA"/>
        </w:rPr>
        <w:t>Розвести</w:t>
      </w:r>
      <w:r w:rsidRPr="004177F7">
        <w:rPr>
          <w:rFonts w:ascii="Times New Roman" w:hAnsi="Times New Roman"/>
          <w:lang w:val="uk-UA"/>
        </w:rPr>
        <w:t xml:space="preserve"> </w:t>
      </w:r>
      <w:r>
        <w:rPr>
          <w:rFonts w:ascii="Times New Roman" w:hAnsi="Times New Roman"/>
          <w:lang w:val="uk-UA"/>
        </w:rPr>
        <w:t>в</w:t>
      </w:r>
      <w:r w:rsidRPr="004177F7">
        <w:rPr>
          <w:rFonts w:ascii="Times New Roman" w:hAnsi="Times New Roman"/>
          <w:lang w:val="uk-UA"/>
        </w:rPr>
        <w:t xml:space="preserve">акцину </w:t>
      </w:r>
      <w:r>
        <w:rPr>
          <w:rFonts w:ascii="Times New Roman" w:hAnsi="Times New Roman"/>
          <w:lang w:val="uk-UA"/>
        </w:rPr>
        <w:t>лише у</w:t>
      </w:r>
      <w:r w:rsidRPr="004177F7">
        <w:rPr>
          <w:rFonts w:ascii="Times New Roman" w:hAnsi="Times New Roman"/>
          <w:lang w:val="uk-UA"/>
        </w:rPr>
        <w:t xml:space="preserve"> відповідно</w:t>
      </w:r>
      <w:r>
        <w:rPr>
          <w:rFonts w:ascii="Times New Roman" w:hAnsi="Times New Roman"/>
          <w:lang w:val="uk-UA"/>
        </w:rPr>
        <w:t>сті до листівки-вкладки</w:t>
      </w:r>
      <w:r w:rsidRPr="004177F7">
        <w:rPr>
          <w:rFonts w:ascii="Times New Roman" w:hAnsi="Times New Roman"/>
          <w:lang w:val="uk-UA"/>
        </w:rPr>
        <w:t>, дотримуючись всіх застережень та запобіжни</w:t>
      </w:r>
      <w:r>
        <w:rPr>
          <w:rFonts w:ascii="Times New Roman" w:hAnsi="Times New Roman"/>
          <w:lang w:val="uk-UA"/>
        </w:rPr>
        <w:t>х заходів при роботі з препаратом</w:t>
      </w:r>
      <w:r w:rsidRPr="004177F7">
        <w:rPr>
          <w:rFonts w:ascii="Times New Roman" w:hAnsi="Times New Roman"/>
          <w:lang w:val="uk-UA"/>
        </w:rPr>
        <w:t>.</w:t>
      </w:r>
    </w:p>
    <w:p w14:paraId="7CDB772F" w14:textId="77777777" w:rsidR="00EC4279" w:rsidRPr="007E6AAE" w:rsidRDefault="00EC4279" w:rsidP="00EC4279">
      <w:pPr>
        <w:pStyle w:val="Style7"/>
        <w:widowControl/>
        <w:numPr>
          <w:ilvl w:val="0"/>
          <w:numId w:val="1"/>
        </w:numPr>
        <w:tabs>
          <w:tab w:val="left" w:pos="284"/>
        </w:tabs>
        <w:spacing w:line="240" w:lineRule="auto"/>
        <w:rPr>
          <w:rFonts w:ascii="Times New Roman" w:hAnsi="Times New Roman"/>
          <w:lang w:val="uk-UA"/>
        </w:rPr>
      </w:pPr>
      <w:r w:rsidRPr="004177F7">
        <w:rPr>
          <w:rFonts w:ascii="Times New Roman" w:hAnsi="Times New Roman"/>
          <w:lang w:val="uk-UA"/>
        </w:rPr>
        <w:t>Вийняти із рідкого азоту ампули з вакциною, в кількості, що буде використана відразу.</w:t>
      </w:r>
      <w:r w:rsidRPr="004177F7">
        <w:rPr>
          <w:lang w:val="uk-UA"/>
        </w:rPr>
        <w:t xml:space="preserve"> </w:t>
      </w:r>
      <w:r w:rsidRPr="004177F7">
        <w:rPr>
          <w:rFonts w:ascii="Times New Roman" w:hAnsi="Times New Roman"/>
          <w:lang w:val="uk-UA"/>
        </w:rPr>
        <w:t xml:space="preserve">Слід </w:t>
      </w:r>
      <w:r w:rsidRPr="007E6AAE">
        <w:rPr>
          <w:rFonts w:ascii="Times New Roman" w:hAnsi="Times New Roman"/>
          <w:lang w:val="uk-UA"/>
        </w:rPr>
        <w:t>робити це швидко, але обережно.</w:t>
      </w:r>
    </w:p>
    <w:p w14:paraId="0A7834E6" w14:textId="77777777" w:rsidR="00EC4279" w:rsidRPr="006804A6" w:rsidRDefault="00EC4279" w:rsidP="00EC4279">
      <w:pPr>
        <w:pStyle w:val="Style7"/>
        <w:widowControl/>
        <w:numPr>
          <w:ilvl w:val="0"/>
          <w:numId w:val="1"/>
        </w:numPr>
        <w:tabs>
          <w:tab w:val="left" w:pos="284"/>
        </w:tabs>
        <w:spacing w:line="240" w:lineRule="auto"/>
        <w:rPr>
          <w:rFonts w:ascii="Times New Roman" w:hAnsi="Times New Roman"/>
          <w:lang w:val="uk-UA"/>
        </w:rPr>
      </w:pPr>
      <w:r w:rsidRPr="006804A6">
        <w:rPr>
          <w:rFonts w:ascii="Times New Roman" w:hAnsi="Times New Roman"/>
          <w:lang w:val="uk-UA"/>
        </w:rPr>
        <w:t xml:space="preserve">Розмістити ампулу (ампули) </w:t>
      </w:r>
      <w:r w:rsidR="00F07124" w:rsidRPr="00B6084E">
        <w:rPr>
          <w:rFonts w:ascii="Times New Roman" w:hAnsi="Times New Roman"/>
          <w:lang w:val="uk-UA"/>
        </w:rPr>
        <w:t xml:space="preserve">у водяній бані при </w:t>
      </w:r>
      <w:r w:rsidRPr="00B6084E">
        <w:rPr>
          <w:rFonts w:ascii="Times New Roman" w:hAnsi="Times New Roman"/>
          <w:lang w:val="uk-UA"/>
        </w:rPr>
        <w:t xml:space="preserve">температурі </w:t>
      </w:r>
      <w:r w:rsidR="00F07124" w:rsidRPr="00B6084E">
        <w:rPr>
          <w:rFonts w:ascii="Times New Roman" w:hAnsi="Times New Roman"/>
          <w:lang w:val="uk-UA"/>
        </w:rPr>
        <w:t xml:space="preserve">води </w:t>
      </w:r>
      <w:r w:rsidRPr="00B6084E">
        <w:rPr>
          <w:rFonts w:ascii="Times New Roman" w:hAnsi="Times New Roman"/>
          <w:lang w:val="uk-UA"/>
        </w:rPr>
        <w:t>від 20</w:t>
      </w:r>
      <w:r w:rsidRPr="00B6084E">
        <w:rPr>
          <w:rFonts w:ascii="Times New Roman" w:hAnsi="Times New Roman"/>
          <w:bCs/>
          <w:lang w:val="uk-UA"/>
        </w:rPr>
        <w:t xml:space="preserve">ºС до 30ºС </w:t>
      </w:r>
      <w:r w:rsidR="00172933" w:rsidRPr="00B6084E">
        <w:rPr>
          <w:rFonts w:ascii="Times New Roman" w:hAnsi="Times New Roman"/>
          <w:bCs/>
          <w:lang w:val="uk-UA"/>
        </w:rPr>
        <w:t xml:space="preserve">для </w:t>
      </w:r>
      <w:r w:rsidRPr="00B6084E">
        <w:rPr>
          <w:rFonts w:ascii="Times New Roman" w:hAnsi="Times New Roman"/>
          <w:bCs/>
          <w:lang w:val="uk-UA"/>
        </w:rPr>
        <w:t>швидкого розмороження ампули.</w:t>
      </w:r>
    </w:p>
    <w:p w14:paraId="4092018B" w14:textId="77777777" w:rsidR="00EC4279" w:rsidRPr="006804A6" w:rsidRDefault="00EC4279" w:rsidP="00EC4279">
      <w:pPr>
        <w:pStyle w:val="Style7"/>
        <w:widowControl/>
        <w:numPr>
          <w:ilvl w:val="0"/>
          <w:numId w:val="1"/>
        </w:numPr>
        <w:tabs>
          <w:tab w:val="left" w:pos="284"/>
        </w:tabs>
        <w:spacing w:line="240" w:lineRule="auto"/>
        <w:rPr>
          <w:rFonts w:ascii="Times New Roman" w:hAnsi="Times New Roman"/>
          <w:lang w:val="uk-UA"/>
        </w:rPr>
      </w:pPr>
      <w:r w:rsidRPr="006804A6">
        <w:rPr>
          <w:rFonts w:ascii="Times New Roman" w:hAnsi="Times New Roman"/>
          <w:lang w:val="uk-UA"/>
        </w:rPr>
        <w:t>Розморозити увесь вміст ампули.</w:t>
      </w:r>
    </w:p>
    <w:p w14:paraId="3C520EDB" w14:textId="77777777" w:rsidR="00EC4279" w:rsidRPr="00C035FF"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C035FF">
        <w:rPr>
          <w:rFonts w:ascii="Times New Roman" w:hAnsi="Times New Roman"/>
          <w:lang w:val="uk-UA"/>
        </w:rPr>
        <w:t>Обережно прокрутити ампулу, щоб повністю розморозити вміст.</w:t>
      </w:r>
    </w:p>
    <w:p w14:paraId="3310CDD6" w14:textId="77777777" w:rsidR="00EC4279" w:rsidRPr="00C035FF" w:rsidRDefault="00EC4279" w:rsidP="00EC4279">
      <w:pPr>
        <w:pStyle w:val="Style7"/>
        <w:widowControl/>
        <w:numPr>
          <w:ilvl w:val="0"/>
          <w:numId w:val="1"/>
        </w:numPr>
        <w:tabs>
          <w:tab w:val="left" w:pos="284"/>
        </w:tabs>
        <w:spacing w:line="240" w:lineRule="auto"/>
        <w:rPr>
          <w:rFonts w:ascii="Times New Roman" w:hAnsi="Times New Roman"/>
          <w:lang w:val="uk-UA"/>
        </w:rPr>
      </w:pPr>
      <w:r w:rsidRPr="00C035FF">
        <w:rPr>
          <w:rFonts w:ascii="Times New Roman" w:hAnsi="Times New Roman"/>
          <w:lang w:val="uk-UA"/>
        </w:rPr>
        <w:t>Розламати ампулу в місці звуження та швидко продовжити розведення як вказано нижче.</w:t>
      </w:r>
    </w:p>
    <w:p w14:paraId="26B56243" w14:textId="77777777" w:rsidR="00EC4279" w:rsidRPr="008E183F"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Pr>
          <w:rFonts w:ascii="Times New Roman" w:hAnsi="Times New Roman"/>
          <w:lang w:val="uk-UA"/>
        </w:rPr>
        <w:t>В</w:t>
      </w:r>
      <w:r w:rsidRPr="008E183F">
        <w:rPr>
          <w:rFonts w:ascii="Times New Roman" w:hAnsi="Times New Roman"/>
          <w:lang w:val="uk-UA"/>
        </w:rPr>
        <w:t xml:space="preserve">икористати 200 мл стерильного розріджувача для кожних 1000 доз вакцини при підшкірному введенні  або для кожних 4000 доз для застосування методом </w:t>
      </w:r>
      <w:r w:rsidRPr="008E183F">
        <w:rPr>
          <w:rFonts w:ascii="Times New Roman" w:hAnsi="Times New Roman"/>
          <w:i/>
          <w:lang w:val="uk-UA"/>
        </w:rPr>
        <w:t>in ovo</w:t>
      </w:r>
      <w:r>
        <w:rPr>
          <w:rFonts w:ascii="Times New Roman" w:hAnsi="Times New Roman"/>
          <w:lang w:val="uk-UA"/>
        </w:rPr>
        <w:t>.</w:t>
      </w:r>
    </w:p>
    <w:p w14:paraId="17875DD0" w14:textId="77777777" w:rsidR="00EC4279" w:rsidRPr="00CD447C"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CD447C">
        <w:rPr>
          <w:rFonts w:ascii="Times New Roman" w:hAnsi="Times New Roman"/>
          <w:lang w:val="uk-UA"/>
        </w:rPr>
        <w:t>Зняти кришку з упаковки розріджувача.</w:t>
      </w:r>
    </w:p>
    <w:p w14:paraId="3F26B440" w14:textId="77777777" w:rsidR="00EC4279" w:rsidRPr="00CD447C"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CD447C">
        <w:rPr>
          <w:rFonts w:ascii="Times New Roman" w:hAnsi="Times New Roman"/>
          <w:lang w:val="uk-UA"/>
        </w:rPr>
        <w:t>Вибрати за допомогою стерильної голки діаметром 18-</w:t>
      </w:r>
      <w:smartTag w:uri="urn:schemas-microsoft-com:office:smarttags" w:element="metricconverter">
        <w:smartTagPr>
          <w:attr w:name="ProductID" w:val="20 G"/>
        </w:smartTagPr>
        <w:r w:rsidRPr="00CD447C">
          <w:rPr>
            <w:rFonts w:ascii="Times New Roman" w:hAnsi="Times New Roman"/>
            <w:lang w:val="uk-UA"/>
          </w:rPr>
          <w:t>20 G</w:t>
        </w:r>
      </w:smartTag>
      <w:r w:rsidRPr="00CD447C">
        <w:rPr>
          <w:rFonts w:ascii="Times New Roman" w:hAnsi="Times New Roman"/>
          <w:lang w:val="uk-UA"/>
        </w:rPr>
        <w:t xml:space="preserve"> в стерильний 10 мл шприц вміст ампули з вакциною;</w:t>
      </w:r>
    </w:p>
    <w:p w14:paraId="4ADDE439" w14:textId="77777777" w:rsidR="00EC4279" w:rsidRPr="00F5776A"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F5776A">
        <w:rPr>
          <w:rFonts w:ascii="Times New Roman" w:hAnsi="Times New Roman"/>
          <w:lang w:val="uk-UA"/>
        </w:rPr>
        <w:t>Повільно вводити вакцину у відповідний об’єм розріджувача.</w:t>
      </w:r>
    </w:p>
    <w:p w14:paraId="3D894AE7" w14:textId="77777777" w:rsidR="00EC4279" w:rsidRPr="00F5776A" w:rsidRDefault="00EC4279" w:rsidP="00EC4279">
      <w:pPr>
        <w:pStyle w:val="Style7"/>
        <w:widowControl/>
        <w:numPr>
          <w:ilvl w:val="0"/>
          <w:numId w:val="1"/>
        </w:numPr>
        <w:tabs>
          <w:tab w:val="left" w:pos="284"/>
        </w:tabs>
        <w:spacing w:line="240" w:lineRule="auto"/>
        <w:rPr>
          <w:rFonts w:ascii="Times New Roman" w:hAnsi="Times New Roman"/>
          <w:lang w:val="uk-UA"/>
        </w:rPr>
      </w:pPr>
      <w:r w:rsidRPr="00F5776A">
        <w:rPr>
          <w:rFonts w:ascii="Times New Roman" w:hAnsi="Times New Roman"/>
          <w:lang w:val="uk-UA"/>
        </w:rPr>
        <w:t xml:space="preserve">Відібрати невелику кількість розріджувача в шприц ввести в пусту ампулу з під вакцини та ополоснути ампулу, відібрати отриману суміш та додати </w:t>
      </w:r>
      <w:r w:rsidR="00A82392" w:rsidRPr="00B6084E">
        <w:rPr>
          <w:rFonts w:ascii="Times New Roman" w:hAnsi="Times New Roman"/>
          <w:lang w:val="uk-UA"/>
        </w:rPr>
        <w:t xml:space="preserve">до </w:t>
      </w:r>
      <w:r w:rsidR="00D7009E" w:rsidRPr="00B6084E">
        <w:rPr>
          <w:rFonts w:ascii="Times New Roman" w:hAnsi="Times New Roman"/>
          <w:lang w:val="uk-UA"/>
        </w:rPr>
        <w:t>вакцинн</w:t>
      </w:r>
      <w:r w:rsidR="00A82392" w:rsidRPr="00B6084E">
        <w:rPr>
          <w:rFonts w:ascii="Times New Roman" w:hAnsi="Times New Roman"/>
          <w:lang w:val="uk-UA"/>
        </w:rPr>
        <w:t>ого</w:t>
      </w:r>
      <w:r w:rsidR="00D7009E" w:rsidRPr="00B6084E">
        <w:rPr>
          <w:rFonts w:ascii="Times New Roman" w:hAnsi="Times New Roman"/>
          <w:lang w:val="uk-UA"/>
        </w:rPr>
        <w:t xml:space="preserve"> розчин</w:t>
      </w:r>
      <w:r w:rsidR="00A82392" w:rsidRPr="00B6084E">
        <w:rPr>
          <w:rFonts w:ascii="Times New Roman" w:hAnsi="Times New Roman"/>
          <w:lang w:val="uk-UA"/>
        </w:rPr>
        <w:t>у</w:t>
      </w:r>
      <w:r w:rsidRPr="00B6084E">
        <w:rPr>
          <w:rFonts w:ascii="Times New Roman" w:hAnsi="Times New Roman"/>
          <w:lang w:val="uk-UA"/>
        </w:rPr>
        <w:t>.</w:t>
      </w:r>
    </w:p>
    <w:bookmarkEnd w:id="3"/>
    <w:bookmarkEnd w:id="4"/>
    <w:p w14:paraId="570B64D8" w14:textId="77777777" w:rsidR="00EC4279" w:rsidRDefault="00EC4279" w:rsidP="00EC4279">
      <w:pPr>
        <w:pStyle w:val="Style7"/>
        <w:widowControl/>
        <w:numPr>
          <w:ilvl w:val="0"/>
          <w:numId w:val="1"/>
        </w:numPr>
        <w:tabs>
          <w:tab w:val="left" w:pos="284"/>
        </w:tabs>
        <w:spacing w:line="240" w:lineRule="auto"/>
        <w:rPr>
          <w:rFonts w:ascii="Times New Roman" w:hAnsi="Times New Roman"/>
          <w:lang w:val="uk-UA"/>
        </w:rPr>
      </w:pPr>
      <w:r w:rsidRPr="00F5776A">
        <w:rPr>
          <w:rFonts w:ascii="Times New Roman" w:hAnsi="Times New Roman"/>
          <w:lang w:val="uk-UA"/>
        </w:rPr>
        <w:t xml:space="preserve">Ретельно змішати вміст пакету з отриманою </w:t>
      </w:r>
      <w:r>
        <w:rPr>
          <w:rFonts w:ascii="Times New Roman" w:hAnsi="Times New Roman"/>
          <w:lang w:val="uk-UA"/>
        </w:rPr>
        <w:t>сумішшю</w:t>
      </w:r>
      <w:r w:rsidRPr="00F5776A">
        <w:rPr>
          <w:rFonts w:ascii="Times New Roman" w:hAnsi="Times New Roman"/>
          <w:lang w:val="uk-UA"/>
        </w:rPr>
        <w:t>, акуратно збовтуючи та перевертаючи пакет.</w:t>
      </w:r>
    </w:p>
    <w:p w14:paraId="6B28A602" w14:textId="77777777" w:rsidR="00EC4279" w:rsidRPr="00B6084E" w:rsidRDefault="006277BE" w:rsidP="008C4C90">
      <w:pPr>
        <w:pStyle w:val="Style7"/>
        <w:widowControl/>
        <w:numPr>
          <w:ilvl w:val="0"/>
          <w:numId w:val="1"/>
        </w:numPr>
        <w:tabs>
          <w:tab w:val="left" w:pos="284"/>
        </w:tabs>
        <w:spacing w:line="240" w:lineRule="auto"/>
        <w:rPr>
          <w:rFonts w:ascii="Times New Roman" w:hAnsi="Times New Roman"/>
          <w:lang w:val="uk-UA"/>
        </w:rPr>
      </w:pPr>
      <w:r w:rsidRPr="00B6084E">
        <w:rPr>
          <w:rFonts w:ascii="Times New Roman" w:hAnsi="Times New Roman"/>
          <w:lang w:val="uk-UA"/>
        </w:rPr>
        <w:t>Не збовтувати сильно.</w:t>
      </w:r>
    </w:p>
    <w:p w14:paraId="11757804" w14:textId="77777777" w:rsidR="00EC4279" w:rsidRDefault="00EC4279" w:rsidP="00EC4279">
      <w:pPr>
        <w:pStyle w:val="Style7"/>
        <w:widowControl/>
        <w:numPr>
          <w:ilvl w:val="0"/>
          <w:numId w:val="1"/>
        </w:numPr>
        <w:tabs>
          <w:tab w:val="left" w:pos="284"/>
        </w:tabs>
        <w:spacing w:line="240" w:lineRule="auto"/>
        <w:rPr>
          <w:rFonts w:ascii="Times New Roman" w:hAnsi="Times New Roman"/>
          <w:lang w:val="uk-UA"/>
        </w:rPr>
      </w:pPr>
      <w:r w:rsidRPr="00D7046A">
        <w:rPr>
          <w:rFonts w:ascii="Times New Roman" w:hAnsi="Times New Roman"/>
          <w:lang w:val="uk-UA"/>
        </w:rPr>
        <w:t>Тримати пакет з розрідженою вакциною на крижаній бані.</w:t>
      </w:r>
    </w:p>
    <w:p w14:paraId="6289EA79" w14:textId="77777777" w:rsidR="006277BE" w:rsidRPr="00D7046A" w:rsidRDefault="006277BE" w:rsidP="00EC4279">
      <w:pPr>
        <w:pStyle w:val="Style7"/>
        <w:widowControl/>
        <w:numPr>
          <w:ilvl w:val="0"/>
          <w:numId w:val="1"/>
        </w:numPr>
        <w:tabs>
          <w:tab w:val="left" w:pos="284"/>
        </w:tabs>
        <w:spacing w:line="240" w:lineRule="auto"/>
        <w:rPr>
          <w:rFonts w:ascii="Times New Roman" w:hAnsi="Times New Roman"/>
          <w:lang w:val="uk-UA"/>
        </w:rPr>
      </w:pPr>
      <w:r w:rsidRPr="00B6084E">
        <w:rPr>
          <w:rFonts w:ascii="Times New Roman" w:hAnsi="Times New Roman"/>
          <w:lang w:val="uk-UA"/>
        </w:rPr>
        <w:t>Вакцинний розчин</w:t>
      </w:r>
      <w:r>
        <w:rPr>
          <w:rFonts w:ascii="Times New Roman" w:hAnsi="Times New Roman"/>
          <w:lang w:val="uk-UA"/>
        </w:rPr>
        <w:t xml:space="preserve"> використати негайно.</w:t>
      </w:r>
    </w:p>
    <w:p w14:paraId="5FF50690" w14:textId="77777777" w:rsidR="00EC4279" w:rsidRPr="006F1895"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6F1895">
        <w:rPr>
          <w:rFonts w:ascii="Times New Roman" w:hAnsi="Times New Roman"/>
          <w:lang w:val="uk-UA"/>
        </w:rPr>
        <w:t xml:space="preserve">Періодично </w:t>
      </w:r>
      <w:r w:rsidR="006277BE" w:rsidRPr="00B6084E">
        <w:rPr>
          <w:rFonts w:ascii="Times New Roman" w:hAnsi="Times New Roman"/>
          <w:lang w:val="uk-UA"/>
        </w:rPr>
        <w:t>збовтувати</w:t>
      </w:r>
      <w:r w:rsidR="006277BE">
        <w:rPr>
          <w:rFonts w:ascii="Times New Roman" w:hAnsi="Times New Roman"/>
          <w:lang w:val="uk-UA"/>
        </w:rPr>
        <w:t xml:space="preserve">, </w:t>
      </w:r>
      <w:r w:rsidRPr="006F1895">
        <w:rPr>
          <w:rFonts w:ascii="Times New Roman" w:hAnsi="Times New Roman"/>
          <w:lang w:val="uk-UA"/>
        </w:rPr>
        <w:t>щоб забезпечити рівномірне розподілення клітин в суспензії.</w:t>
      </w:r>
    </w:p>
    <w:p w14:paraId="56099DA6" w14:textId="77777777" w:rsidR="00EC4279" w:rsidRPr="006F1895" w:rsidRDefault="00EC4279" w:rsidP="00EC4279">
      <w:pPr>
        <w:pStyle w:val="Style7"/>
        <w:widowControl/>
        <w:tabs>
          <w:tab w:val="left" w:pos="284"/>
        </w:tabs>
        <w:spacing w:line="240" w:lineRule="auto"/>
        <w:rPr>
          <w:rFonts w:ascii="Times New Roman" w:hAnsi="Times New Roman"/>
          <w:u w:val="single"/>
          <w:lang w:val="uk-UA"/>
        </w:rPr>
      </w:pPr>
      <w:r w:rsidRPr="006F1895">
        <w:rPr>
          <w:rFonts w:ascii="Times New Roman" w:hAnsi="Times New Roman"/>
          <w:u w:val="single"/>
          <w:lang w:val="uk-UA"/>
        </w:rPr>
        <w:t xml:space="preserve">Застосовування вакцини методом </w:t>
      </w:r>
      <w:r w:rsidRPr="006F1895">
        <w:rPr>
          <w:rFonts w:ascii="Times New Roman" w:hAnsi="Times New Roman"/>
          <w:bCs/>
          <w:u w:val="single"/>
          <w:lang w:val="uk-UA"/>
        </w:rPr>
        <w:t xml:space="preserve"> </w:t>
      </w:r>
      <w:r w:rsidRPr="006F1895">
        <w:rPr>
          <w:rFonts w:ascii="Times New Roman" w:hAnsi="Times New Roman"/>
          <w:i/>
          <w:u w:val="single"/>
          <w:lang w:val="uk-UA"/>
        </w:rPr>
        <w:t>in ovo</w:t>
      </w:r>
      <w:r w:rsidRPr="006F1895">
        <w:rPr>
          <w:rFonts w:ascii="Times New Roman" w:hAnsi="Times New Roman"/>
          <w:u w:val="single"/>
          <w:lang w:val="uk-UA"/>
        </w:rPr>
        <w:t xml:space="preserve"> (в </w:t>
      </w:r>
      <w:r w:rsidRPr="006F1895">
        <w:rPr>
          <w:rFonts w:ascii="Times New Roman" w:hAnsi="Times New Roman"/>
          <w:bCs/>
          <w:u w:val="single"/>
          <w:lang w:val="uk-UA"/>
        </w:rPr>
        <w:t>яйце) під оболонку хоріоналантоїсу для 18-19</w:t>
      </w:r>
      <w:r w:rsidRPr="006F1895">
        <w:rPr>
          <w:rFonts w:ascii="Times New Roman" w:hAnsi="Times New Roman"/>
          <w:b/>
          <w:bCs/>
          <w:u w:val="single"/>
          <w:lang w:val="uk-UA"/>
        </w:rPr>
        <w:t>-</w:t>
      </w:r>
      <w:r w:rsidRPr="006F1895">
        <w:rPr>
          <w:rFonts w:ascii="Times New Roman" w:hAnsi="Times New Roman"/>
          <w:bCs/>
          <w:u w:val="single"/>
          <w:lang w:val="uk-UA"/>
        </w:rPr>
        <w:t>добових ембріонів</w:t>
      </w:r>
      <w:r w:rsidRPr="006F1895">
        <w:rPr>
          <w:rFonts w:ascii="Times New Roman" w:hAnsi="Times New Roman"/>
          <w:u w:val="single"/>
          <w:lang w:val="uk-UA"/>
        </w:rPr>
        <w:t>:</w:t>
      </w:r>
    </w:p>
    <w:p w14:paraId="49F1D341" w14:textId="77777777" w:rsidR="00EC4279" w:rsidRDefault="00EC4279" w:rsidP="00EC4279">
      <w:pPr>
        <w:pStyle w:val="Style7"/>
        <w:widowControl/>
        <w:tabs>
          <w:tab w:val="left" w:pos="284"/>
        </w:tabs>
        <w:spacing w:line="240" w:lineRule="auto"/>
        <w:rPr>
          <w:rFonts w:ascii="Times New Roman" w:hAnsi="Times New Roman"/>
          <w:lang w:val="uk-UA"/>
        </w:rPr>
      </w:pPr>
      <w:r w:rsidRPr="006F1895">
        <w:rPr>
          <w:rFonts w:ascii="Times New Roman" w:hAnsi="Times New Roman"/>
          <w:lang w:val="uk-UA"/>
        </w:rPr>
        <w:t xml:space="preserve">Перед початком </w:t>
      </w:r>
      <w:r w:rsidRPr="006F1895">
        <w:rPr>
          <w:rFonts w:ascii="Times New Roman" w:hAnsi="Times New Roman"/>
          <w:i/>
          <w:iCs/>
          <w:lang w:val="uk-UA"/>
        </w:rPr>
        <w:t>in ovo</w:t>
      </w:r>
      <w:r w:rsidRPr="006F1895">
        <w:rPr>
          <w:rFonts w:ascii="Times New Roman" w:hAnsi="Times New Roman"/>
          <w:lang w:val="uk-UA"/>
        </w:rPr>
        <w:t xml:space="preserve"> вакцинації, уважно прочитайте та дотримуйтесь інструкції з експлуатації систем введення вакцини</w:t>
      </w:r>
      <w:r>
        <w:rPr>
          <w:rFonts w:ascii="Times New Roman" w:hAnsi="Times New Roman"/>
          <w:lang w:val="uk-UA"/>
        </w:rPr>
        <w:t xml:space="preserve"> (обладнання)</w:t>
      </w:r>
      <w:r w:rsidRPr="006F1895">
        <w:rPr>
          <w:rFonts w:ascii="Times New Roman" w:hAnsi="Times New Roman"/>
          <w:lang w:val="uk-UA"/>
        </w:rPr>
        <w:t>. Недотримання інструкцій може призвести до травмування персоналу, захворюваності та смертності ембріонів.</w:t>
      </w:r>
    </w:p>
    <w:p w14:paraId="5D42384F" w14:textId="77777777" w:rsidR="00EC4279" w:rsidRPr="006F1895" w:rsidRDefault="00EC4279" w:rsidP="00EC4279">
      <w:pPr>
        <w:pStyle w:val="Style7"/>
        <w:widowControl/>
        <w:numPr>
          <w:ilvl w:val="0"/>
          <w:numId w:val="1"/>
        </w:numPr>
        <w:tabs>
          <w:tab w:val="left" w:pos="284"/>
        </w:tabs>
        <w:spacing w:line="240" w:lineRule="auto"/>
        <w:rPr>
          <w:rFonts w:ascii="Times New Roman" w:hAnsi="Times New Roman"/>
          <w:bCs/>
          <w:lang w:val="uk-UA"/>
        </w:rPr>
      </w:pPr>
      <w:r w:rsidRPr="006F1895">
        <w:rPr>
          <w:rFonts w:ascii="Times New Roman" w:hAnsi="Times New Roman"/>
          <w:bCs/>
          <w:lang w:val="uk-UA"/>
        </w:rPr>
        <w:t xml:space="preserve">Систему введення вакцини ембріонам (обладнання) </w:t>
      </w:r>
      <w:r>
        <w:rPr>
          <w:rFonts w:ascii="Times New Roman" w:hAnsi="Times New Roman"/>
          <w:bCs/>
          <w:lang w:val="uk-UA"/>
        </w:rPr>
        <w:t>дезінфікувати</w:t>
      </w:r>
      <w:r w:rsidRPr="006F1895">
        <w:rPr>
          <w:rFonts w:ascii="Times New Roman" w:hAnsi="Times New Roman"/>
          <w:bCs/>
          <w:lang w:val="uk-UA"/>
        </w:rPr>
        <w:t xml:space="preserve"> перед та після використання.</w:t>
      </w:r>
    </w:p>
    <w:p w14:paraId="5077046B" w14:textId="77777777" w:rsidR="00EC4279" w:rsidRDefault="00EC4279" w:rsidP="00EC4279">
      <w:pPr>
        <w:pStyle w:val="Style7"/>
        <w:widowControl/>
        <w:numPr>
          <w:ilvl w:val="0"/>
          <w:numId w:val="1"/>
        </w:numPr>
        <w:tabs>
          <w:tab w:val="left" w:pos="284"/>
        </w:tabs>
        <w:spacing w:line="240" w:lineRule="auto"/>
        <w:rPr>
          <w:rFonts w:ascii="Times New Roman" w:hAnsi="Times New Roman"/>
          <w:bCs/>
          <w:lang w:val="uk-UA"/>
        </w:rPr>
      </w:pPr>
      <w:r w:rsidRPr="006F1895">
        <w:rPr>
          <w:rFonts w:ascii="Times New Roman" w:hAnsi="Times New Roman"/>
          <w:bCs/>
          <w:lang w:val="uk-UA"/>
        </w:rPr>
        <w:t>В</w:t>
      </w:r>
      <w:r>
        <w:rPr>
          <w:rFonts w:ascii="Times New Roman" w:hAnsi="Times New Roman"/>
          <w:bCs/>
          <w:lang w:val="uk-UA"/>
        </w:rPr>
        <w:t xml:space="preserve"> кожне ембріональне яйце вводити</w:t>
      </w:r>
      <w:r w:rsidRPr="006F1895">
        <w:rPr>
          <w:rFonts w:ascii="Times New Roman" w:hAnsi="Times New Roman"/>
          <w:bCs/>
          <w:lang w:val="uk-UA"/>
        </w:rPr>
        <w:t xml:space="preserve"> по 0,05 мл вакцини. </w:t>
      </w:r>
    </w:p>
    <w:p w14:paraId="00F14EEC" w14:textId="77777777" w:rsidR="00EC4279" w:rsidRPr="003518EC" w:rsidRDefault="00EC4279" w:rsidP="00EC4279">
      <w:pPr>
        <w:pStyle w:val="Style7"/>
        <w:widowControl/>
        <w:numPr>
          <w:ilvl w:val="0"/>
          <w:numId w:val="1"/>
        </w:numPr>
        <w:tabs>
          <w:tab w:val="left" w:pos="284"/>
        </w:tabs>
        <w:spacing w:line="240" w:lineRule="auto"/>
        <w:rPr>
          <w:rFonts w:ascii="Times New Roman" w:hAnsi="Times New Roman"/>
          <w:u w:val="single"/>
          <w:lang w:val="uk-UA"/>
        </w:rPr>
      </w:pPr>
      <w:r w:rsidRPr="003518EC">
        <w:rPr>
          <w:rFonts w:ascii="Times New Roman" w:hAnsi="Times New Roman"/>
          <w:bCs/>
          <w:lang w:val="uk-UA"/>
        </w:rPr>
        <w:t>Суспензію вакцини необхідно використати протягом години після розкриття т</w:t>
      </w:r>
      <w:r>
        <w:rPr>
          <w:rFonts w:ascii="Times New Roman" w:hAnsi="Times New Roman"/>
          <w:bCs/>
          <w:lang w:val="uk-UA"/>
        </w:rPr>
        <w:t>а змішування з розріджувачем</w:t>
      </w:r>
      <w:r w:rsidRPr="003518EC">
        <w:rPr>
          <w:rFonts w:ascii="Times New Roman" w:hAnsi="Times New Roman"/>
          <w:bCs/>
          <w:lang w:val="uk-UA"/>
        </w:rPr>
        <w:t xml:space="preserve">. </w:t>
      </w:r>
    </w:p>
    <w:p w14:paraId="446D633D" w14:textId="77777777" w:rsidR="00EC4279" w:rsidRDefault="00EC4279" w:rsidP="00EC4279">
      <w:pPr>
        <w:pStyle w:val="Style7"/>
        <w:widowControl/>
        <w:tabs>
          <w:tab w:val="left" w:pos="284"/>
        </w:tabs>
        <w:spacing w:line="240" w:lineRule="auto"/>
        <w:ind w:left="60"/>
        <w:rPr>
          <w:rFonts w:ascii="Times New Roman" w:hAnsi="Times New Roman"/>
          <w:u w:val="single"/>
          <w:lang w:val="uk-UA"/>
        </w:rPr>
      </w:pPr>
      <w:r w:rsidRPr="00A84125">
        <w:rPr>
          <w:rFonts w:ascii="Times New Roman" w:hAnsi="Times New Roman"/>
          <w:u w:val="single"/>
          <w:lang w:val="uk-UA"/>
        </w:rPr>
        <w:t>Застосовування вакцини підшкірним способом:</w:t>
      </w:r>
    </w:p>
    <w:p w14:paraId="3384FB25" w14:textId="77777777" w:rsidR="00EC4279" w:rsidRDefault="00EC4279" w:rsidP="00EC4279">
      <w:pPr>
        <w:pStyle w:val="Style7"/>
        <w:widowControl/>
        <w:tabs>
          <w:tab w:val="left" w:pos="284"/>
        </w:tabs>
        <w:spacing w:line="240" w:lineRule="auto"/>
        <w:rPr>
          <w:rFonts w:ascii="Times New Roman" w:hAnsi="Times New Roman"/>
          <w:lang w:val="uk-UA"/>
        </w:rPr>
      </w:pPr>
      <w:r>
        <w:rPr>
          <w:rFonts w:ascii="Times New Roman" w:hAnsi="Times New Roman"/>
          <w:lang w:val="uk-UA"/>
        </w:rPr>
        <w:t>Необхідно</w:t>
      </w:r>
      <w:r w:rsidRPr="00A84125">
        <w:rPr>
          <w:rFonts w:ascii="Times New Roman" w:hAnsi="Times New Roman"/>
          <w:lang w:val="uk-UA"/>
        </w:rPr>
        <w:t xml:space="preserve"> стерилі</w:t>
      </w:r>
      <w:r>
        <w:rPr>
          <w:rFonts w:ascii="Times New Roman" w:hAnsi="Times New Roman"/>
          <w:lang w:val="uk-UA"/>
        </w:rPr>
        <w:t>зувати обладнання для вакцинації</w:t>
      </w:r>
      <w:r w:rsidRPr="00A84125">
        <w:rPr>
          <w:rFonts w:ascii="Times New Roman" w:hAnsi="Times New Roman"/>
          <w:lang w:val="uk-UA"/>
        </w:rPr>
        <w:t xml:space="preserve"> автоклавуванням протягом щонайменш</w:t>
      </w:r>
      <w:r>
        <w:rPr>
          <w:rFonts w:ascii="Times New Roman" w:hAnsi="Times New Roman"/>
          <w:lang w:val="uk-UA"/>
        </w:rPr>
        <w:t xml:space="preserve">е 15 хвилин при температурі </w:t>
      </w:r>
      <w:smartTag w:uri="urn:schemas-microsoft-com:office:smarttags" w:element="metricconverter">
        <w:smartTagPr>
          <w:attr w:name="ProductID" w:val="121ﾰC"/>
        </w:smartTagPr>
        <w:r>
          <w:rPr>
            <w:rFonts w:ascii="Times New Roman" w:hAnsi="Times New Roman"/>
            <w:lang w:val="uk-UA"/>
          </w:rPr>
          <w:t>121</w:t>
        </w:r>
        <w:r w:rsidRPr="00A84125">
          <w:rPr>
            <w:rFonts w:ascii="Times New Roman" w:hAnsi="Times New Roman"/>
            <w:lang w:val="uk-UA"/>
          </w:rPr>
          <w:t>°C</w:t>
        </w:r>
      </w:smartTag>
      <w:r w:rsidRPr="00A84125">
        <w:rPr>
          <w:rFonts w:ascii="Times New Roman" w:hAnsi="Times New Roman"/>
          <w:lang w:val="uk-UA"/>
        </w:rPr>
        <w:t xml:space="preserve"> або кип’ятінням у воді протяго</w:t>
      </w:r>
      <w:r>
        <w:rPr>
          <w:rFonts w:ascii="Times New Roman" w:hAnsi="Times New Roman"/>
          <w:lang w:val="uk-UA"/>
        </w:rPr>
        <w:t xml:space="preserve">м щонайменше 20 хвилин. </w:t>
      </w:r>
      <w:r w:rsidRPr="00C30FF4">
        <w:rPr>
          <w:rFonts w:ascii="Times New Roman" w:hAnsi="Times New Roman"/>
          <w:lang w:val="uk-UA"/>
        </w:rPr>
        <w:t xml:space="preserve">Не допускати контакту обладнання для вакцинації з </w:t>
      </w:r>
      <w:r>
        <w:rPr>
          <w:rFonts w:ascii="Times New Roman" w:hAnsi="Times New Roman"/>
          <w:lang w:val="uk-UA"/>
        </w:rPr>
        <w:t>хімічними дезінфікуючими</w:t>
      </w:r>
      <w:r w:rsidRPr="00C30FF4">
        <w:rPr>
          <w:rFonts w:ascii="Times New Roman" w:hAnsi="Times New Roman"/>
          <w:lang w:val="uk-UA"/>
        </w:rPr>
        <w:t xml:space="preserve"> за</w:t>
      </w:r>
      <w:r>
        <w:rPr>
          <w:rFonts w:ascii="Times New Roman" w:hAnsi="Times New Roman"/>
          <w:lang w:val="uk-UA"/>
        </w:rPr>
        <w:t>собами</w:t>
      </w:r>
      <w:r w:rsidRPr="00C30FF4">
        <w:rPr>
          <w:rFonts w:ascii="Times New Roman" w:hAnsi="Times New Roman"/>
          <w:lang w:val="uk-UA"/>
        </w:rPr>
        <w:t>.</w:t>
      </w:r>
    </w:p>
    <w:p w14:paraId="0FA39389" w14:textId="77777777" w:rsidR="00EC4279" w:rsidRDefault="00EC4279" w:rsidP="004823E8">
      <w:pPr>
        <w:pStyle w:val="Style7"/>
        <w:widowControl/>
        <w:numPr>
          <w:ilvl w:val="0"/>
          <w:numId w:val="1"/>
        </w:numPr>
        <w:tabs>
          <w:tab w:val="left" w:pos="284"/>
        </w:tabs>
        <w:spacing w:line="240" w:lineRule="auto"/>
        <w:ind w:left="0" w:firstLine="60"/>
        <w:rPr>
          <w:rFonts w:ascii="Times New Roman" w:hAnsi="Times New Roman"/>
          <w:lang w:val="uk-UA"/>
        </w:rPr>
      </w:pPr>
      <w:r w:rsidRPr="00DB151F">
        <w:rPr>
          <w:rFonts w:ascii="Times New Roman" w:hAnsi="Times New Roman"/>
          <w:lang w:val="uk-UA"/>
        </w:rPr>
        <w:t>Використовувати стерильний автома</w:t>
      </w:r>
      <w:r>
        <w:rPr>
          <w:rFonts w:ascii="Times New Roman" w:hAnsi="Times New Roman"/>
          <w:lang w:val="uk-UA"/>
        </w:rPr>
        <w:t>тичний шприц з голкою 20-</w:t>
      </w:r>
      <w:smartTag w:uri="urn:schemas-microsoft-com:office:smarttags" w:element="metricconverter">
        <w:smartTagPr>
          <w:attr w:name="ProductID" w:val="22 G"/>
        </w:smartTagPr>
        <w:r>
          <w:rPr>
            <w:rFonts w:ascii="Times New Roman" w:hAnsi="Times New Roman"/>
            <w:lang w:val="uk-UA"/>
          </w:rPr>
          <w:t>22 G</w:t>
        </w:r>
      </w:smartTag>
      <w:r>
        <w:rPr>
          <w:rFonts w:ascii="Times New Roman" w:hAnsi="Times New Roman"/>
          <w:lang w:val="uk-UA"/>
        </w:rPr>
        <w:t xml:space="preserve"> (</w:t>
      </w:r>
      <w:r w:rsidRPr="00DB151F">
        <w:rPr>
          <w:rFonts w:ascii="Times New Roman" w:hAnsi="Times New Roman"/>
          <w:lang w:val="uk-UA"/>
        </w:rPr>
        <w:t>3/8"-1/2"</w:t>
      </w:r>
      <w:r>
        <w:rPr>
          <w:rFonts w:ascii="Times New Roman" w:hAnsi="Times New Roman"/>
          <w:lang w:val="uk-UA"/>
        </w:rPr>
        <w:t>)</w:t>
      </w:r>
      <w:r w:rsidRPr="00DB151F">
        <w:rPr>
          <w:rFonts w:ascii="Times New Roman" w:hAnsi="Times New Roman"/>
          <w:lang w:val="uk-UA"/>
        </w:rPr>
        <w:t xml:space="preserve"> з точною дозою 0,2 мл.</w:t>
      </w:r>
    </w:p>
    <w:p w14:paraId="115FA120" w14:textId="77777777" w:rsidR="00EC4279" w:rsidRPr="00A84125" w:rsidRDefault="00EC4279" w:rsidP="00EC4279">
      <w:pPr>
        <w:pStyle w:val="Style7"/>
        <w:widowControl/>
        <w:numPr>
          <w:ilvl w:val="0"/>
          <w:numId w:val="1"/>
        </w:numPr>
        <w:tabs>
          <w:tab w:val="left" w:pos="284"/>
        </w:tabs>
        <w:spacing w:line="240" w:lineRule="auto"/>
        <w:rPr>
          <w:rFonts w:ascii="Times New Roman" w:hAnsi="Times New Roman"/>
          <w:lang w:val="uk-UA"/>
        </w:rPr>
      </w:pPr>
      <w:r w:rsidRPr="00FE51E3">
        <w:rPr>
          <w:rFonts w:ascii="Times New Roman" w:hAnsi="Times New Roman"/>
          <w:lang w:val="uk-UA"/>
        </w:rPr>
        <w:t>Під час вакцинації необхідно перевіряти точність дозування</w:t>
      </w:r>
      <w:r>
        <w:rPr>
          <w:rFonts w:ascii="Times New Roman" w:hAnsi="Times New Roman"/>
          <w:lang w:val="uk-UA"/>
        </w:rPr>
        <w:t xml:space="preserve"> декілька разів</w:t>
      </w:r>
      <w:r w:rsidRPr="00FE51E3">
        <w:rPr>
          <w:rFonts w:ascii="Times New Roman" w:hAnsi="Times New Roman"/>
          <w:lang w:val="uk-UA"/>
        </w:rPr>
        <w:t>.</w:t>
      </w:r>
    </w:p>
    <w:p w14:paraId="1CB4FE80" w14:textId="77777777" w:rsidR="00EC4279" w:rsidRPr="00965DDE"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D57C18">
        <w:rPr>
          <w:rFonts w:ascii="Times New Roman" w:hAnsi="Times New Roman"/>
          <w:bCs/>
          <w:lang w:val="uk-UA"/>
        </w:rPr>
        <w:t>Вакцину вводити курчатам у дорсальну ділянку шиї</w:t>
      </w:r>
      <w:r w:rsidRPr="00D955C5">
        <w:rPr>
          <w:rFonts w:ascii="Times New Roman" w:hAnsi="Times New Roman"/>
          <w:bCs/>
          <w:lang w:val="uk-UA"/>
        </w:rPr>
        <w:t xml:space="preserve"> (</w:t>
      </w:r>
      <w:r w:rsidRPr="00D57C18">
        <w:rPr>
          <w:rFonts w:ascii="Times New Roman" w:hAnsi="Times New Roman"/>
          <w:bCs/>
          <w:lang w:val="uk-UA"/>
        </w:rPr>
        <w:t>підшкірно), натягуючи її та утримуючи курча за задню частину шиї, біля голови.</w:t>
      </w:r>
    </w:p>
    <w:p w14:paraId="66943EFA" w14:textId="77777777" w:rsidR="00EC4279" w:rsidRPr="00D57C18"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D57C18">
        <w:rPr>
          <w:rFonts w:ascii="Times New Roman" w:hAnsi="Times New Roman"/>
          <w:bCs/>
          <w:lang w:val="uk-UA"/>
        </w:rPr>
        <w:t>Вільну ділянку шкіри навколо шиї необхідно підняти обережним стисненням між великим та вказівним пальцями.</w:t>
      </w:r>
    </w:p>
    <w:p w14:paraId="6040EBCA" w14:textId="77777777" w:rsidR="00EC4279" w:rsidRPr="00D57C18"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D57C18">
        <w:rPr>
          <w:rFonts w:ascii="Times New Roman" w:hAnsi="Times New Roman"/>
          <w:bCs/>
          <w:lang w:val="uk-UA"/>
        </w:rPr>
        <w:lastRenderedPageBreak/>
        <w:t>Голку вводити під шкіру у напрямку від голови.</w:t>
      </w:r>
    </w:p>
    <w:p w14:paraId="35A27E99" w14:textId="77777777" w:rsidR="00EC4279" w:rsidRPr="00D57C18"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D57C18">
        <w:rPr>
          <w:rFonts w:ascii="Times New Roman" w:hAnsi="Times New Roman"/>
          <w:bCs/>
          <w:lang w:val="uk-UA"/>
        </w:rPr>
        <w:t>Доза</w:t>
      </w:r>
      <w:r w:rsidRPr="00B6084E">
        <w:rPr>
          <w:rFonts w:ascii="Times New Roman" w:hAnsi="Times New Roman"/>
          <w:bCs/>
          <w:lang w:val="uk-UA"/>
        </w:rPr>
        <w:t xml:space="preserve"> </w:t>
      </w:r>
      <w:r w:rsidR="00F77D5B" w:rsidRPr="00B6084E">
        <w:rPr>
          <w:rFonts w:ascii="Times New Roman" w:hAnsi="Times New Roman"/>
          <w:bCs/>
          <w:lang w:val="uk-UA"/>
        </w:rPr>
        <w:t>введення</w:t>
      </w:r>
      <w:r w:rsidR="00F77D5B" w:rsidRPr="00D57C18">
        <w:rPr>
          <w:rFonts w:ascii="Times New Roman" w:hAnsi="Times New Roman"/>
          <w:bCs/>
          <w:lang w:val="uk-UA"/>
        </w:rPr>
        <w:t xml:space="preserve"> </w:t>
      </w:r>
      <w:r w:rsidRPr="00D57C18">
        <w:rPr>
          <w:rFonts w:ascii="Times New Roman" w:hAnsi="Times New Roman"/>
          <w:bCs/>
          <w:lang w:val="uk-UA"/>
        </w:rPr>
        <w:t xml:space="preserve">0,2 мл на </w:t>
      </w:r>
      <w:r w:rsidRPr="000E4F90">
        <w:rPr>
          <w:rFonts w:ascii="Times New Roman" w:hAnsi="Times New Roman"/>
          <w:bCs/>
          <w:lang w:val="uk-UA"/>
        </w:rPr>
        <w:t>одну особину.</w:t>
      </w:r>
    </w:p>
    <w:p w14:paraId="35DF81BC" w14:textId="77777777" w:rsidR="00EC4279" w:rsidRPr="003518EC" w:rsidRDefault="00EC4279" w:rsidP="00EC4279">
      <w:pPr>
        <w:pStyle w:val="Style7"/>
        <w:widowControl/>
        <w:numPr>
          <w:ilvl w:val="0"/>
          <w:numId w:val="1"/>
        </w:numPr>
        <w:tabs>
          <w:tab w:val="left" w:pos="284"/>
        </w:tabs>
        <w:spacing w:line="240" w:lineRule="auto"/>
        <w:ind w:left="0" w:firstLine="0"/>
        <w:rPr>
          <w:rFonts w:ascii="Times New Roman" w:hAnsi="Times New Roman"/>
          <w:lang w:val="uk-UA"/>
        </w:rPr>
      </w:pPr>
      <w:r w:rsidRPr="00D57C18">
        <w:rPr>
          <w:rFonts w:ascii="Times New Roman" w:hAnsi="Times New Roman"/>
          <w:bCs/>
          <w:lang w:val="uk-UA"/>
        </w:rPr>
        <w:t>Уникати попадання вакцини у м’язи та кістки шиї.</w:t>
      </w:r>
    </w:p>
    <w:p w14:paraId="5A80CE14" w14:textId="77777777" w:rsidR="00EC4279" w:rsidRPr="003518EC" w:rsidRDefault="00EC4279" w:rsidP="00EC4279">
      <w:pPr>
        <w:numPr>
          <w:ilvl w:val="0"/>
          <w:numId w:val="1"/>
        </w:numPr>
        <w:tabs>
          <w:tab w:val="left" w:pos="284"/>
        </w:tabs>
        <w:ind w:left="0" w:firstLine="0"/>
      </w:pPr>
      <w:r w:rsidRPr="003518EC">
        <w:t xml:space="preserve">Суспензію вакцини необхідно використати протягом години після розкриття та змішування з розріджувачем. </w:t>
      </w:r>
    </w:p>
    <w:p w14:paraId="1A6ECBBB" w14:textId="77777777" w:rsidR="00EC4279" w:rsidRPr="00ED1DD8" w:rsidRDefault="00EC4279" w:rsidP="00EC4279">
      <w:pPr>
        <w:pStyle w:val="Style7"/>
        <w:tabs>
          <w:tab w:val="left" w:pos="284"/>
        </w:tabs>
        <w:rPr>
          <w:rFonts w:ascii="Times New Roman" w:hAnsi="Times New Roman"/>
          <w:u w:val="single"/>
          <w:lang w:val="uk-UA"/>
        </w:rPr>
      </w:pPr>
      <w:r w:rsidRPr="00ED1DD8">
        <w:rPr>
          <w:rFonts w:ascii="Times New Roman" w:hAnsi="Times New Roman"/>
          <w:u w:val="single"/>
          <w:lang w:val="uk-UA"/>
        </w:rPr>
        <w:t>Приготування розчину для вакцинації з додаванням блакитного барвника до стерильного розріджувача.</w:t>
      </w:r>
    </w:p>
    <w:p w14:paraId="278A7F14" w14:textId="77777777" w:rsidR="00EC4279" w:rsidRPr="00ED1DD8" w:rsidRDefault="00EC4279" w:rsidP="00EC4279">
      <w:pPr>
        <w:pStyle w:val="Style7"/>
        <w:tabs>
          <w:tab w:val="left" w:pos="284"/>
        </w:tabs>
        <w:rPr>
          <w:rFonts w:ascii="Times New Roman" w:hAnsi="Times New Roman"/>
          <w:lang w:val="uk-UA"/>
        </w:rPr>
      </w:pPr>
      <w:r w:rsidRPr="00ED1DD8">
        <w:rPr>
          <w:rFonts w:ascii="Times New Roman" w:hAnsi="Times New Roman"/>
          <w:lang w:val="uk-UA"/>
        </w:rPr>
        <w:t xml:space="preserve">Блакитний барвник </w:t>
      </w:r>
      <w:r>
        <w:rPr>
          <w:rFonts w:ascii="Times New Roman" w:hAnsi="Times New Roman"/>
          <w:lang w:val="uk-UA"/>
        </w:rPr>
        <w:t>може додаватися до стерильного розріджувача</w:t>
      </w:r>
      <w:r w:rsidRPr="00ED1DD8">
        <w:rPr>
          <w:rFonts w:ascii="Times New Roman" w:hAnsi="Times New Roman"/>
          <w:lang w:val="uk-UA"/>
        </w:rPr>
        <w:t xml:space="preserve"> з дотримуванням методів асептики наступним чином:</w:t>
      </w:r>
    </w:p>
    <w:p w14:paraId="0739FA4F" w14:textId="77777777" w:rsidR="00EC4279" w:rsidRPr="00ED1DD8" w:rsidRDefault="00EC4279" w:rsidP="00EC4279">
      <w:pPr>
        <w:pStyle w:val="Style7"/>
        <w:tabs>
          <w:tab w:val="left" w:pos="284"/>
        </w:tabs>
        <w:rPr>
          <w:rFonts w:ascii="Times New Roman" w:hAnsi="Times New Roman"/>
          <w:lang w:val="uk-UA"/>
        </w:rPr>
      </w:pPr>
      <w:r>
        <w:rPr>
          <w:rFonts w:ascii="Times New Roman" w:hAnsi="Times New Roman"/>
          <w:lang w:val="uk-UA"/>
        </w:rPr>
        <w:t>-</w:t>
      </w:r>
      <w:r>
        <w:rPr>
          <w:rFonts w:ascii="Times New Roman" w:hAnsi="Times New Roman"/>
          <w:lang w:val="uk-UA"/>
        </w:rPr>
        <w:tab/>
        <w:t>С</w:t>
      </w:r>
      <w:r w:rsidRPr="00ED1DD8">
        <w:rPr>
          <w:rFonts w:ascii="Times New Roman" w:hAnsi="Times New Roman"/>
          <w:lang w:val="uk-UA"/>
        </w:rPr>
        <w:t>хема змішування барвника</w:t>
      </w:r>
      <w:r>
        <w:rPr>
          <w:rFonts w:ascii="Times New Roman" w:hAnsi="Times New Roman"/>
          <w:lang w:val="uk-UA"/>
        </w:rPr>
        <w:t>:</w:t>
      </w:r>
    </w:p>
    <w:p w14:paraId="56446C95" w14:textId="77777777" w:rsidR="00EC4279" w:rsidRDefault="00EC4279" w:rsidP="00EC4279">
      <w:pPr>
        <w:pStyle w:val="Style7"/>
        <w:tabs>
          <w:tab w:val="left" w:pos="284"/>
        </w:tabs>
        <w:rPr>
          <w:rFonts w:ascii="Times New Roman" w:hAnsi="Times New Roman"/>
          <w:lang w:val="uk-UA"/>
        </w:rPr>
      </w:pPr>
      <w:r w:rsidRPr="00ED1DD8">
        <w:rPr>
          <w:rFonts w:ascii="Times New Roman" w:hAnsi="Times New Roman"/>
          <w:lang w:val="uk-UA"/>
        </w:rPr>
        <w:t>Розмір пакету/флакону розріджувача</w:t>
      </w:r>
      <w:r w:rsidRPr="00ED1DD8">
        <w:rPr>
          <w:rFonts w:ascii="Times New Roman" w:hAnsi="Times New Roman"/>
          <w:lang w:val="uk-UA"/>
        </w:rPr>
        <w:tab/>
      </w:r>
      <w:r>
        <w:rPr>
          <w:rFonts w:ascii="Times New Roman" w:hAnsi="Times New Roman"/>
          <w:lang w:val="uk-UA"/>
        </w:rPr>
        <w:t xml:space="preserve"> </w:t>
      </w:r>
      <w:r w:rsidRPr="00ED1DD8">
        <w:rPr>
          <w:rFonts w:ascii="Times New Roman" w:hAnsi="Times New Roman"/>
          <w:lang w:val="uk-UA"/>
        </w:rPr>
        <w:t>200 мл</w:t>
      </w:r>
    </w:p>
    <w:p w14:paraId="1A067FB3" w14:textId="77777777" w:rsidR="00EC4279" w:rsidRPr="00ED1DD8" w:rsidRDefault="00EC4279" w:rsidP="00EC4279">
      <w:pPr>
        <w:pStyle w:val="Style7"/>
        <w:tabs>
          <w:tab w:val="left" w:pos="284"/>
        </w:tabs>
        <w:rPr>
          <w:rFonts w:ascii="Times New Roman" w:hAnsi="Times New Roman"/>
          <w:lang w:val="uk-UA"/>
        </w:rPr>
      </w:pPr>
      <w:r>
        <w:rPr>
          <w:rFonts w:ascii="Times New Roman" w:hAnsi="Times New Roman"/>
          <w:lang w:val="uk-UA"/>
        </w:rPr>
        <w:t xml:space="preserve">      </w:t>
      </w:r>
      <w:r w:rsidRPr="00ED1DD8">
        <w:rPr>
          <w:rFonts w:ascii="Times New Roman" w:hAnsi="Times New Roman"/>
          <w:lang w:val="uk-UA"/>
        </w:rPr>
        <w:tab/>
      </w:r>
      <w:r>
        <w:rPr>
          <w:rFonts w:ascii="Times New Roman" w:hAnsi="Times New Roman"/>
          <w:lang w:val="uk-UA"/>
        </w:rPr>
        <w:t xml:space="preserve">                                                            </w:t>
      </w:r>
      <w:r w:rsidRPr="00ED1DD8">
        <w:rPr>
          <w:rFonts w:ascii="Times New Roman" w:hAnsi="Times New Roman"/>
          <w:lang w:val="uk-UA"/>
        </w:rPr>
        <w:t>400 мл</w:t>
      </w:r>
      <w:r w:rsidRPr="00ED1DD8">
        <w:rPr>
          <w:rFonts w:ascii="Times New Roman" w:hAnsi="Times New Roman"/>
          <w:lang w:val="uk-UA"/>
        </w:rPr>
        <w:tab/>
        <w:t>1200 мл</w:t>
      </w:r>
      <w:r w:rsidRPr="00ED1DD8">
        <w:rPr>
          <w:rFonts w:ascii="Times New Roman" w:hAnsi="Times New Roman"/>
          <w:lang w:val="uk-UA"/>
        </w:rPr>
        <w:tab/>
        <w:t>1800 мл</w:t>
      </w:r>
    </w:p>
    <w:p w14:paraId="065DBB44" w14:textId="77777777" w:rsidR="00EC4279" w:rsidRPr="00ED1DD8" w:rsidRDefault="00EC4279" w:rsidP="00EC4279">
      <w:pPr>
        <w:pStyle w:val="Style7"/>
        <w:tabs>
          <w:tab w:val="left" w:pos="284"/>
        </w:tabs>
        <w:rPr>
          <w:rFonts w:ascii="Times New Roman" w:hAnsi="Times New Roman"/>
          <w:lang w:val="uk-UA"/>
        </w:rPr>
      </w:pPr>
      <w:r w:rsidRPr="00ED1DD8">
        <w:rPr>
          <w:rFonts w:ascii="Times New Roman" w:hAnsi="Times New Roman"/>
          <w:lang w:val="uk-UA"/>
        </w:rPr>
        <w:tab/>
      </w:r>
      <w:r>
        <w:rPr>
          <w:rFonts w:ascii="Times New Roman" w:hAnsi="Times New Roman"/>
          <w:lang w:val="uk-UA"/>
        </w:rPr>
        <w:t xml:space="preserve">                                                                   </w:t>
      </w:r>
      <w:r w:rsidRPr="00ED1DD8">
        <w:rPr>
          <w:rFonts w:ascii="Times New Roman" w:hAnsi="Times New Roman"/>
          <w:lang w:val="uk-UA"/>
        </w:rPr>
        <w:t>600 мл</w:t>
      </w:r>
      <w:r w:rsidRPr="00ED1DD8">
        <w:rPr>
          <w:rFonts w:ascii="Times New Roman" w:hAnsi="Times New Roman"/>
          <w:lang w:val="uk-UA"/>
        </w:rPr>
        <w:tab/>
        <w:t>1600 мл</w:t>
      </w:r>
      <w:r w:rsidRPr="00ED1DD8">
        <w:rPr>
          <w:rFonts w:ascii="Times New Roman" w:hAnsi="Times New Roman"/>
          <w:lang w:val="uk-UA"/>
        </w:rPr>
        <w:tab/>
        <w:t>2400 мл</w:t>
      </w:r>
    </w:p>
    <w:p w14:paraId="54E5CCE2" w14:textId="77777777" w:rsidR="00EC4279" w:rsidRPr="00ED1DD8" w:rsidRDefault="00EC4279" w:rsidP="00EC4279">
      <w:pPr>
        <w:pStyle w:val="Style7"/>
        <w:tabs>
          <w:tab w:val="left" w:pos="284"/>
        </w:tabs>
        <w:rPr>
          <w:rFonts w:ascii="Times New Roman" w:hAnsi="Times New Roman"/>
          <w:lang w:val="uk-UA"/>
        </w:rPr>
      </w:pPr>
      <w:r w:rsidRPr="00ED1DD8">
        <w:rPr>
          <w:rFonts w:ascii="Times New Roman" w:hAnsi="Times New Roman"/>
          <w:lang w:val="uk-UA"/>
        </w:rPr>
        <w:tab/>
      </w:r>
      <w:r>
        <w:rPr>
          <w:rFonts w:ascii="Times New Roman" w:hAnsi="Times New Roman"/>
          <w:lang w:val="uk-UA"/>
        </w:rPr>
        <w:t xml:space="preserve">                                                                   </w:t>
      </w:r>
      <w:r w:rsidRPr="00ED1DD8">
        <w:rPr>
          <w:rFonts w:ascii="Times New Roman" w:hAnsi="Times New Roman"/>
          <w:lang w:val="uk-UA"/>
        </w:rPr>
        <w:t>800 мл</w:t>
      </w:r>
      <w:r w:rsidRPr="00ED1DD8">
        <w:rPr>
          <w:rFonts w:ascii="Times New Roman" w:hAnsi="Times New Roman"/>
          <w:lang w:val="uk-UA"/>
        </w:rPr>
        <w:tab/>
        <w:t xml:space="preserve"> </w:t>
      </w:r>
      <w:r w:rsidRPr="00ED1DD8">
        <w:rPr>
          <w:rFonts w:ascii="Times New Roman" w:hAnsi="Times New Roman"/>
          <w:lang w:val="uk-UA"/>
        </w:rPr>
        <w:tab/>
        <w:t xml:space="preserve"> </w:t>
      </w:r>
    </w:p>
    <w:p w14:paraId="0EF1E840" w14:textId="77777777" w:rsidR="00EC4279" w:rsidRDefault="00EC4279" w:rsidP="00EC4279">
      <w:pPr>
        <w:pStyle w:val="Style7"/>
        <w:tabs>
          <w:tab w:val="left" w:pos="284"/>
        </w:tabs>
        <w:rPr>
          <w:rFonts w:ascii="Times New Roman" w:hAnsi="Times New Roman"/>
          <w:lang w:val="uk-UA"/>
        </w:rPr>
      </w:pPr>
    </w:p>
    <w:p w14:paraId="7167932C" w14:textId="77777777" w:rsidR="00EC4279" w:rsidRPr="00ED1DD8" w:rsidRDefault="00EC4279" w:rsidP="00EC4279">
      <w:pPr>
        <w:pStyle w:val="Style7"/>
        <w:tabs>
          <w:tab w:val="left" w:pos="284"/>
        </w:tabs>
        <w:rPr>
          <w:rFonts w:ascii="Times New Roman" w:hAnsi="Times New Roman"/>
          <w:lang w:val="uk-UA"/>
        </w:rPr>
      </w:pPr>
      <w:r w:rsidRPr="00ED1DD8">
        <w:rPr>
          <w:rFonts w:ascii="Times New Roman" w:hAnsi="Times New Roman"/>
          <w:lang w:val="uk-UA"/>
        </w:rPr>
        <w:t>Об'єм блакитного барвника</w:t>
      </w:r>
      <w:r w:rsidRPr="00ED1DD8">
        <w:rPr>
          <w:rFonts w:ascii="Times New Roman" w:hAnsi="Times New Roman"/>
          <w:lang w:val="uk-UA"/>
        </w:rPr>
        <w:tab/>
      </w:r>
      <w:r>
        <w:rPr>
          <w:rFonts w:ascii="Times New Roman" w:hAnsi="Times New Roman"/>
          <w:lang w:val="uk-UA"/>
        </w:rPr>
        <w:t xml:space="preserve">                         </w:t>
      </w:r>
      <w:r w:rsidRPr="00ED1DD8">
        <w:rPr>
          <w:rFonts w:ascii="Times New Roman" w:hAnsi="Times New Roman"/>
          <w:lang w:val="uk-UA"/>
        </w:rPr>
        <w:t>0,5 мл</w:t>
      </w:r>
      <w:r w:rsidRPr="00ED1DD8">
        <w:rPr>
          <w:rFonts w:ascii="Times New Roman" w:hAnsi="Times New Roman"/>
          <w:lang w:val="uk-UA"/>
        </w:rPr>
        <w:tab/>
        <w:t>1,0 мл</w:t>
      </w:r>
      <w:r w:rsidRPr="00ED1DD8">
        <w:rPr>
          <w:rFonts w:ascii="Times New Roman" w:hAnsi="Times New Roman"/>
          <w:lang w:val="uk-UA"/>
        </w:rPr>
        <w:tab/>
      </w:r>
      <w:r>
        <w:rPr>
          <w:rFonts w:ascii="Times New Roman" w:hAnsi="Times New Roman"/>
          <w:lang w:val="uk-UA"/>
        </w:rPr>
        <w:t xml:space="preserve">             </w:t>
      </w:r>
      <w:r w:rsidRPr="00ED1DD8">
        <w:rPr>
          <w:rFonts w:ascii="Times New Roman" w:hAnsi="Times New Roman"/>
          <w:lang w:val="uk-UA"/>
        </w:rPr>
        <w:t>1,5 мл</w:t>
      </w:r>
    </w:p>
    <w:p w14:paraId="2D85FA78" w14:textId="77777777" w:rsidR="00EC4279" w:rsidRPr="00ED1DD8" w:rsidRDefault="00EC4279" w:rsidP="00EC4279">
      <w:pPr>
        <w:pStyle w:val="Style7"/>
        <w:tabs>
          <w:tab w:val="left" w:pos="284"/>
        </w:tabs>
        <w:rPr>
          <w:rFonts w:ascii="Times New Roman" w:hAnsi="Times New Roman"/>
          <w:lang w:val="uk-UA"/>
        </w:rPr>
      </w:pPr>
    </w:p>
    <w:p w14:paraId="07E68E43" w14:textId="77777777" w:rsidR="00EC4279" w:rsidRPr="00ED1DD8" w:rsidRDefault="00EC4279" w:rsidP="00EC4279">
      <w:pPr>
        <w:pStyle w:val="Style7"/>
        <w:tabs>
          <w:tab w:val="left" w:pos="284"/>
        </w:tabs>
        <w:rPr>
          <w:rFonts w:ascii="Times New Roman" w:hAnsi="Times New Roman"/>
          <w:lang w:val="uk-UA"/>
        </w:rPr>
      </w:pPr>
      <w:r>
        <w:rPr>
          <w:rFonts w:ascii="Times New Roman" w:hAnsi="Times New Roman"/>
          <w:lang w:val="uk-UA"/>
        </w:rPr>
        <w:t>-</w:t>
      </w:r>
      <w:r>
        <w:rPr>
          <w:rFonts w:ascii="Times New Roman" w:hAnsi="Times New Roman"/>
          <w:lang w:val="uk-UA"/>
        </w:rPr>
        <w:tab/>
        <w:t>О</w:t>
      </w:r>
      <w:r w:rsidRPr="00ED1DD8">
        <w:rPr>
          <w:rFonts w:ascii="Times New Roman" w:hAnsi="Times New Roman"/>
          <w:lang w:val="uk-UA"/>
        </w:rPr>
        <w:t>бробити спиртом поверхню гумових пробок флакону з барвником і пакет/флакон з розріджувачем;</w:t>
      </w:r>
      <w:r w:rsidRPr="002A32FA">
        <w:t xml:space="preserve"> </w:t>
      </w:r>
      <w:r>
        <w:rPr>
          <w:rFonts w:ascii="Times New Roman" w:hAnsi="Times New Roman"/>
          <w:lang w:val="uk-UA"/>
        </w:rPr>
        <w:t>дати</w:t>
      </w:r>
      <w:r w:rsidRPr="002A32FA">
        <w:rPr>
          <w:rFonts w:ascii="Times New Roman" w:hAnsi="Times New Roman"/>
          <w:lang w:val="uk-UA"/>
        </w:rPr>
        <w:t xml:space="preserve"> висохнути.</w:t>
      </w:r>
    </w:p>
    <w:p w14:paraId="32EC4A73" w14:textId="77777777" w:rsidR="00EC4279" w:rsidRPr="00ED1DD8" w:rsidRDefault="00EC4279" w:rsidP="00EC4279">
      <w:pPr>
        <w:pStyle w:val="Style7"/>
        <w:tabs>
          <w:tab w:val="left" w:pos="284"/>
        </w:tabs>
        <w:rPr>
          <w:rFonts w:ascii="Times New Roman" w:hAnsi="Times New Roman"/>
          <w:lang w:val="uk-UA"/>
        </w:rPr>
      </w:pPr>
      <w:r>
        <w:rPr>
          <w:rFonts w:ascii="Times New Roman" w:hAnsi="Times New Roman"/>
          <w:lang w:val="uk-UA"/>
        </w:rPr>
        <w:t>-</w:t>
      </w:r>
      <w:r>
        <w:rPr>
          <w:rFonts w:ascii="Times New Roman" w:hAnsi="Times New Roman"/>
          <w:lang w:val="uk-UA"/>
        </w:rPr>
        <w:tab/>
        <w:t>Використовуючи</w:t>
      </w:r>
      <w:r w:rsidRPr="00ED1DD8">
        <w:rPr>
          <w:rFonts w:ascii="Times New Roman" w:hAnsi="Times New Roman"/>
          <w:lang w:val="uk-UA"/>
        </w:rPr>
        <w:t xml:space="preserve"> стерильний шприц та голку</w:t>
      </w:r>
      <w:r w:rsidR="008A50FA">
        <w:rPr>
          <w:rFonts w:ascii="Times New Roman" w:hAnsi="Times New Roman"/>
          <w:lang w:val="uk-UA"/>
        </w:rPr>
        <w:t>, набрати</w:t>
      </w:r>
      <w:r>
        <w:rPr>
          <w:rFonts w:ascii="Times New Roman" w:hAnsi="Times New Roman"/>
          <w:lang w:val="uk-UA"/>
        </w:rPr>
        <w:t xml:space="preserve"> вміст флакону з барвником</w:t>
      </w:r>
      <w:r w:rsidRPr="00ED1DD8">
        <w:rPr>
          <w:rFonts w:ascii="Times New Roman" w:hAnsi="Times New Roman"/>
          <w:lang w:val="uk-UA"/>
        </w:rPr>
        <w:t>;</w:t>
      </w:r>
    </w:p>
    <w:p w14:paraId="2DF0FAC4" w14:textId="77777777" w:rsidR="00EC4279" w:rsidRPr="00ED1DD8" w:rsidRDefault="00EC4279" w:rsidP="00EC4279">
      <w:pPr>
        <w:pStyle w:val="Style7"/>
        <w:tabs>
          <w:tab w:val="left" w:pos="284"/>
        </w:tabs>
        <w:rPr>
          <w:rFonts w:ascii="Times New Roman" w:hAnsi="Times New Roman"/>
          <w:lang w:val="uk-UA"/>
        </w:rPr>
      </w:pPr>
      <w:r>
        <w:rPr>
          <w:rFonts w:ascii="Times New Roman" w:hAnsi="Times New Roman"/>
          <w:lang w:val="uk-UA"/>
        </w:rPr>
        <w:t>-</w:t>
      </w:r>
      <w:r>
        <w:rPr>
          <w:rFonts w:ascii="Times New Roman" w:hAnsi="Times New Roman"/>
          <w:lang w:val="uk-UA"/>
        </w:rPr>
        <w:tab/>
        <w:t>Б</w:t>
      </w:r>
      <w:r w:rsidRPr="00ED1DD8">
        <w:rPr>
          <w:rFonts w:ascii="Times New Roman" w:hAnsi="Times New Roman"/>
          <w:lang w:val="uk-UA"/>
        </w:rPr>
        <w:t xml:space="preserve">арвник ввести </w:t>
      </w:r>
      <w:r>
        <w:rPr>
          <w:rFonts w:ascii="Times New Roman" w:hAnsi="Times New Roman"/>
          <w:lang w:val="uk-UA"/>
        </w:rPr>
        <w:t>в пакет/флакон з розріджувачем та</w:t>
      </w:r>
      <w:r w:rsidRPr="00ED1DD8">
        <w:rPr>
          <w:rFonts w:ascii="Times New Roman" w:hAnsi="Times New Roman"/>
          <w:lang w:val="uk-UA"/>
        </w:rPr>
        <w:t xml:space="preserve"> добре змішати;</w:t>
      </w:r>
    </w:p>
    <w:p w14:paraId="10D0F4A4" w14:textId="77777777" w:rsidR="00EC4279" w:rsidRPr="00ED1DD8" w:rsidRDefault="00EC4279" w:rsidP="00EC4279">
      <w:pPr>
        <w:pStyle w:val="Style7"/>
        <w:tabs>
          <w:tab w:val="left" w:pos="284"/>
        </w:tabs>
        <w:rPr>
          <w:rFonts w:ascii="Times New Roman" w:hAnsi="Times New Roman"/>
          <w:lang w:val="uk-UA"/>
        </w:rPr>
      </w:pPr>
      <w:r w:rsidRPr="00ED1DD8">
        <w:rPr>
          <w:rFonts w:ascii="Times New Roman" w:hAnsi="Times New Roman"/>
          <w:lang w:val="uk-UA"/>
        </w:rPr>
        <w:t>-</w:t>
      </w:r>
      <w:r w:rsidRPr="00ED1DD8">
        <w:rPr>
          <w:rFonts w:ascii="Times New Roman" w:hAnsi="Times New Roman"/>
          <w:lang w:val="uk-UA"/>
        </w:rPr>
        <w:tab/>
      </w:r>
      <w:r>
        <w:rPr>
          <w:rFonts w:ascii="Times New Roman" w:hAnsi="Times New Roman"/>
          <w:lang w:val="uk-UA"/>
        </w:rPr>
        <w:t>Лише вакцини проти хвороби Марека виробництва Бер</w:t>
      </w:r>
      <w:r w:rsidR="008A50FA">
        <w:rPr>
          <w:rFonts w:ascii="Times New Roman" w:hAnsi="Times New Roman"/>
          <w:lang w:val="uk-UA"/>
        </w:rPr>
        <w:t>інгер Інгельхайм застосовуються</w:t>
      </w:r>
      <w:r>
        <w:rPr>
          <w:rFonts w:ascii="Times New Roman" w:hAnsi="Times New Roman"/>
          <w:lang w:val="uk-UA"/>
        </w:rPr>
        <w:t xml:space="preserve"> з цим розріджувачем. В</w:t>
      </w:r>
      <w:r w:rsidRPr="00ED1DD8">
        <w:rPr>
          <w:rFonts w:ascii="Times New Roman" w:hAnsi="Times New Roman"/>
          <w:lang w:val="uk-UA"/>
        </w:rPr>
        <w:t>акцину додавати у відповідності</w:t>
      </w:r>
      <w:r>
        <w:rPr>
          <w:rFonts w:ascii="Times New Roman" w:hAnsi="Times New Roman"/>
          <w:lang w:val="uk-UA"/>
        </w:rPr>
        <w:t xml:space="preserve"> з рекомендаціями виробника.</w:t>
      </w:r>
    </w:p>
    <w:p w14:paraId="3B45FD56" w14:textId="77777777" w:rsidR="00EC4279" w:rsidRDefault="00EC4279" w:rsidP="00EC4279">
      <w:pPr>
        <w:pStyle w:val="Style7"/>
        <w:widowControl/>
        <w:tabs>
          <w:tab w:val="left" w:pos="284"/>
        </w:tabs>
        <w:spacing w:line="240" w:lineRule="auto"/>
        <w:rPr>
          <w:rFonts w:ascii="Times New Roman" w:hAnsi="Times New Roman"/>
          <w:lang w:val="uk-UA"/>
        </w:rPr>
      </w:pPr>
      <w:r>
        <w:rPr>
          <w:rFonts w:ascii="Times New Roman" w:hAnsi="Times New Roman"/>
          <w:lang w:val="uk-UA"/>
        </w:rPr>
        <w:t>-</w:t>
      </w:r>
      <w:r>
        <w:rPr>
          <w:rFonts w:ascii="Times New Roman" w:hAnsi="Times New Roman"/>
          <w:lang w:val="uk-UA"/>
        </w:rPr>
        <w:tab/>
        <w:t>Необхідно утилізувати пакет з барвником та будь-який невикористаний вміст наприкінці доби.</w:t>
      </w:r>
    </w:p>
    <w:p w14:paraId="0714AA35" w14:textId="77777777" w:rsidR="00EC4279" w:rsidRPr="00996088" w:rsidRDefault="00EC4279" w:rsidP="00EC4279">
      <w:pPr>
        <w:tabs>
          <w:tab w:val="left" w:pos="284"/>
        </w:tabs>
        <w:jc w:val="both"/>
        <w:rPr>
          <w:b/>
        </w:rPr>
      </w:pPr>
      <w:r w:rsidRPr="00996088">
        <w:rPr>
          <w:b/>
        </w:rPr>
        <w:t>5.9. Передозування (симптоми, невідкладні заходи, антидоти)</w:t>
      </w:r>
    </w:p>
    <w:p w14:paraId="3ED25E30" w14:textId="77777777" w:rsidR="00EC4279" w:rsidRPr="00996088" w:rsidRDefault="00EC4279" w:rsidP="00EC4279">
      <w:pPr>
        <w:tabs>
          <w:tab w:val="left" w:pos="284"/>
        </w:tabs>
        <w:jc w:val="both"/>
      </w:pPr>
      <w:r w:rsidRPr="00996088">
        <w:t xml:space="preserve">Не виявлена. </w:t>
      </w:r>
    </w:p>
    <w:p w14:paraId="2774345A" w14:textId="77777777" w:rsidR="00EC4279" w:rsidRPr="001A0204" w:rsidRDefault="00EC4279" w:rsidP="00EC4279">
      <w:pPr>
        <w:tabs>
          <w:tab w:val="left" w:pos="284"/>
        </w:tabs>
        <w:jc w:val="both"/>
        <w:rPr>
          <w:b/>
        </w:rPr>
      </w:pPr>
      <w:r w:rsidRPr="001A0204">
        <w:rPr>
          <w:b/>
        </w:rPr>
        <w:t>5.10. Спеціальні застереження</w:t>
      </w:r>
    </w:p>
    <w:p w14:paraId="30091D2A" w14:textId="77777777" w:rsidR="00EC4279" w:rsidRDefault="00EC4279" w:rsidP="00EC4279">
      <w:pPr>
        <w:pStyle w:val="Style7"/>
        <w:widowControl/>
        <w:tabs>
          <w:tab w:val="left" w:pos="284"/>
        </w:tabs>
        <w:spacing w:line="240" w:lineRule="auto"/>
        <w:rPr>
          <w:rFonts w:ascii="Times New Roman" w:hAnsi="Times New Roman"/>
          <w:lang w:val="uk-UA"/>
        </w:rPr>
      </w:pPr>
      <w:r>
        <w:rPr>
          <w:rFonts w:ascii="Times New Roman" w:hAnsi="Times New Roman"/>
          <w:lang w:val="uk-UA"/>
        </w:rPr>
        <w:t>Вакцину</w:t>
      </w:r>
      <w:r w:rsidR="00205057" w:rsidRPr="00B6084E">
        <w:rPr>
          <w:rFonts w:ascii="Times New Roman" w:hAnsi="Times New Roman"/>
          <w:lang w:val="uk-UA"/>
        </w:rPr>
        <w:t>ва</w:t>
      </w:r>
      <w:r>
        <w:rPr>
          <w:rFonts w:ascii="Times New Roman" w:hAnsi="Times New Roman"/>
          <w:lang w:val="uk-UA"/>
        </w:rPr>
        <w:t>ти</w:t>
      </w:r>
      <w:r w:rsidRPr="001A0204">
        <w:rPr>
          <w:rFonts w:ascii="Times New Roman" w:hAnsi="Times New Roman"/>
          <w:lang w:val="uk-UA"/>
        </w:rPr>
        <w:t xml:space="preserve"> лише клінічно здорову птицю.</w:t>
      </w:r>
    </w:p>
    <w:p w14:paraId="68B09E23" w14:textId="77777777" w:rsidR="00EC4279" w:rsidRDefault="00EC4279" w:rsidP="00EC4279">
      <w:pPr>
        <w:pStyle w:val="Style7"/>
        <w:widowControl/>
        <w:tabs>
          <w:tab w:val="left" w:pos="284"/>
        </w:tabs>
        <w:spacing w:line="240" w:lineRule="auto"/>
        <w:rPr>
          <w:rFonts w:ascii="Times New Roman" w:hAnsi="Times New Roman"/>
          <w:lang w:val="uk-UA"/>
        </w:rPr>
      </w:pPr>
      <w:r>
        <w:rPr>
          <w:rFonts w:ascii="Times New Roman" w:hAnsi="Times New Roman"/>
          <w:lang w:val="uk-UA"/>
        </w:rPr>
        <w:t>Під час вакцинації дотримуватися</w:t>
      </w:r>
      <w:r w:rsidRPr="001A0204">
        <w:rPr>
          <w:rFonts w:ascii="Times New Roman" w:hAnsi="Times New Roman"/>
          <w:lang w:val="uk-UA"/>
        </w:rPr>
        <w:t xml:space="preserve"> загальних правил асептики</w:t>
      </w:r>
      <w:r>
        <w:rPr>
          <w:rFonts w:ascii="Times New Roman" w:hAnsi="Times New Roman"/>
          <w:lang w:val="uk-UA"/>
        </w:rPr>
        <w:t>.</w:t>
      </w:r>
    </w:p>
    <w:p w14:paraId="5AAF824D" w14:textId="77777777" w:rsidR="00EC4279" w:rsidRPr="004743D3" w:rsidRDefault="00EC4279" w:rsidP="00EC4279">
      <w:pPr>
        <w:jc w:val="both"/>
        <w:rPr>
          <w:rFonts w:eastAsia="Arial Unicode MS" w:cs="Arial Unicode MS"/>
          <w:lang w:val="ru-RU" w:eastAsia="uk-UA" w:bidi="uk-UA"/>
        </w:rPr>
      </w:pPr>
      <w:r w:rsidRPr="00423038">
        <w:rPr>
          <w:rFonts w:eastAsia="Arial Unicode MS" w:cs="Arial Unicode MS"/>
          <w:lang w:eastAsia="uk-UA" w:bidi="uk-UA"/>
        </w:rPr>
        <w:t xml:space="preserve">Важливо утримувати курчат в хороших умовах, щоб  максимально </w:t>
      </w:r>
      <w:r w:rsidR="00205057" w:rsidRPr="00B6084E">
        <w:rPr>
          <w:rFonts w:eastAsia="Arial Unicode MS" w:cs="Arial Unicode MS"/>
          <w:lang w:eastAsia="uk-UA" w:bidi="uk-UA"/>
        </w:rPr>
        <w:t>знизити</w:t>
      </w:r>
      <w:r w:rsidR="00205057" w:rsidRPr="00423038">
        <w:rPr>
          <w:rFonts w:eastAsia="Arial Unicode MS" w:cs="Arial Unicode MS"/>
          <w:lang w:eastAsia="uk-UA" w:bidi="uk-UA"/>
        </w:rPr>
        <w:t xml:space="preserve"> </w:t>
      </w:r>
      <w:r w:rsidRPr="00423038">
        <w:rPr>
          <w:rFonts w:eastAsia="Arial Unicode MS" w:cs="Arial Unicode MS"/>
          <w:lang w:eastAsia="uk-UA" w:bidi="uk-UA"/>
        </w:rPr>
        <w:t>вплив вірусу хвороби.</w:t>
      </w:r>
      <w:r w:rsidRPr="004743D3">
        <w:rPr>
          <w:rFonts w:eastAsia="Arial Unicode MS" w:cs="Arial Unicode MS"/>
          <w:lang w:eastAsia="uk-UA" w:bidi="uk-UA"/>
        </w:rPr>
        <w:t xml:space="preserve"> </w:t>
      </w:r>
    </w:p>
    <w:p w14:paraId="1A2698CB" w14:textId="77777777" w:rsidR="00EC4279" w:rsidRPr="001A0204" w:rsidRDefault="00EC4279" w:rsidP="00EC4279">
      <w:pPr>
        <w:tabs>
          <w:tab w:val="left" w:pos="284"/>
        </w:tabs>
        <w:jc w:val="both"/>
        <w:rPr>
          <w:b/>
        </w:rPr>
      </w:pPr>
      <w:r w:rsidRPr="001A0204">
        <w:rPr>
          <w:b/>
        </w:rPr>
        <w:t>5.11. Період виведення (каренції)</w:t>
      </w:r>
    </w:p>
    <w:p w14:paraId="55C06EE6" w14:textId="77777777" w:rsidR="00EC4279" w:rsidRDefault="00EC4279" w:rsidP="00EC4279">
      <w:pPr>
        <w:tabs>
          <w:tab w:val="left" w:pos="284"/>
        </w:tabs>
        <w:jc w:val="both"/>
      </w:pPr>
      <w:r w:rsidRPr="001A0204">
        <w:t>Не вакцинувати птицю за 21 добу до забою.</w:t>
      </w:r>
    </w:p>
    <w:p w14:paraId="526B4E83" w14:textId="77777777" w:rsidR="00EC4279" w:rsidRPr="001A0204" w:rsidRDefault="00EC4279" w:rsidP="00EC4279">
      <w:pPr>
        <w:tabs>
          <w:tab w:val="left" w:pos="284"/>
        </w:tabs>
        <w:jc w:val="both"/>
        <w:rPr>
          <w:b/>
        </w:rPr>
      </w:pPr>
      <w:r w:rsidRPr="001A0204">
        <w:rPr>
          <w:b/>
        </w:rPr>
        <w:t>5.12. Спеціальні застереження для осіб і обслуговуючого персоналу, котрі вводять засоби захисту тваринам</w:t>
      </w:r>
    </w:p>
    <w:p w14:paraId="79AFD313" w14:textId="77777777" w:rsidR="00EC4279" w:rsidRPr="001A0204" w:rsidRDefault="00EC4279" w:rsidP="00EC4279">
      <w:pPr>
        <w:tabs>
          <w:tab w:val="left" w:pos="142"/>
          <w:tab w:val="left" w:pos="284"/>
        </w:tabs>
        <w:jc w:val="both"/>
      </w:pPr>
      <w:r w:rsidRPr="001A0204">
        <w:t xml:space="preserve">Роботу з рідким азотом та вакцинами повинен проводити персонал, який має спеціальну підготовку. </w:t>
      </w:r>
    </w:p>
    <w:p w14:paraId="694177C9" w14:textId="77777777" w:rsidR="00EC4279" w:rsidRPr="001A0204" w:rsidRDefault="00EC4279" w:rsidP="00EC4279">
      <w:pPr>
        <w:tabs>
          <w:tab w:val="left" w:pos="142"/>
          <w:tab w:val="left" w:pos="284"/>
        </w:tabs>
        <w:jc w:val="both"/>
      </w:pPr>
      <w:r w:rsidRPr="001A0204">
        <w:t>Рідкий азот надзвичайно холодний. Випадковий контакт із шкірою чи очима може спричинити серйозні обмороження. Необхідно одягати захисні окуляри або маску для обличчя. При вийманні та при роботі із замороженими ампулами чи при заповненні контейнеру рідким азотом слід одягати рукавички та одяг з довгими рукавами.</w:t>
      </w:r>
    </w:p>
    <w:p w14:paraId="0F9D4BD7" w14:textId="77777777" w:rsidR="00EC4279" w:rsidRPr="00637A6B" w:rsidRDefault="00EC4279" w:rsidP="00EC4279">
      <w:pPr>
        <w:tabs>
          <w:tab w:val="left" w:pos="142"/>
          <w:tab w:val="left" w:pos="284"/>
        </w:tabs>
        <w:jc w:val="both"/>
      </w:pPr>
      <w:r w:rsidRPr="00637A6B">
        <w:t xml:space="preserve">Роботу з контейнерами </w:t>
      </w:r>
      <w:r w:rsidR="003429F2">
        <w:t>із рідким азотом слід проводити</w:t>
      </w:r>
      <w:r w:rsidRPr="00637A6B">
        <w:t xml:space="preserve"> у добре провітрюваному приміщенні. Надмірна кількість азоту знижує концентрацію кисню в повітрі непровітрюваного приміщення та може спричинити задуху. Якщо відмічається сонливість, слід якомога швидше вийти на свіже повітря та провітрити приміщення. Якщо під час роботи з рідким азотом у людини з’являється запаморочення або втрата свідомості, необхідно негайно її відвести у добре провітрюване приміщення. У разі зупинки дихання, слід зробити штучне дихання. Слід негайно викликати лікаря.</w:t>
      </w:r>
    </w:p>
    <w:p w14:paraId="20732736" w14:textId="77777777" w:rsidR="00EC4279" w:rsidRDefault="00EC4279" w:rsidP="00EC4279">
      <w:pPr>
        <w:tabs>
          <w:tab w:val="left" w:pos="142"/>
          <w:tab w:val="left" w:pos="284"/>
        </w:tabs>
        <w:jc w:val="both"/>
      </w:pPr>
      <w:r w:rsidRPr="00637A6B">
        <w:t>У разі випадкового введення</w:t>
      </w:r>
      <w:r w:rsidR="00205057">
        <w:t xml:space="preserve"> </w:t>
      </w:r>
      <w:r w:rsidR="00205057" w:rsidRPr="00B6084E">
        <w:t>вакцини</w:t>
      </w:r>
      <w:r w:rsidRPr="00637A6B">
        <w:t xml:space="preserve"> людині негайно звернутись до лікаря.</w:t>
      </w:r>
    </w:p>
    <w:p w14:paraId="7CB40D9E" w14:textId="77777777" w:rsidR="00EC4279" w:rsidRPr="00637A6B" w:rsidRDefault="00EC4279" w:rsidP="00EC4279">
      <w:pPr>
        <w:tabs>
          <w:tab w:val="left" w:pos="284"/>
        </w:tabs>
        <w:jc w:val="both"/>
        <w:rPr>
          <w:i/>
        </w:rPr>
      </w:pPr>
      <w:r w:rsidRPr="00637A6B">
        <w:rPr>
          <w:b/>
        </w:rPr>
        <w:t>6. Фармацевтичні особливості</w:t>
      </w:r>
    </w:p>
    <w:p w14:paraId="227B5FC9" w14:textId="77777777" w:rsidR="00EC4279" w:rsidRPr="00637A6B" w:rsidRDefault="00EC4279" w:rsidP="00EC4279">
      <w:pPr>
        <w:tabs>
          <w:tab w:val="left" w:pos="284"/>
        </w:tabs>
        <w:jc w:val="both"/>
        <w:rPr>
          <w:b/>
        </w:rPr>
      </w:pPr>
      <w:r w:rsidRPr="00637A6B">
        <w:rPr>
          <w:b/>
        </w:rPr>
        <w:t>6.1. Основні форми несумісності</w:t>
      </w:r>
    </w:p>
    <w:p w14:paraId="72165F62" w14:textId="77777777" w:rsidR="00EC4279" w:rsidRPr="00637A6B" w:rsidRDefault="00EC4279" w:rsidP="00EC4279">
      <w:pPr>
        <w:tabs>
          <w:tab w:val="left" w:pos="284"/>
        </w:tabs>
        <w:jc w:val="both"/>
      </w:pPr>
      <w:r w:rsidRPr="00637A6B">
        <w:t>Не виявлено.</w:t>
      </w:r>
    </w:p>
    <w:p w14:paraId="5F5629BC" w14:textId="77777777" w:rsidR="00EC4279" w:rsidRPr="00637A6B" w:rsidRDefault="00EC4279" w:rsidP="00EC4279">
      <w:pPr>
        <w:tabs>
          <w:tab w:val="left" w:pos="284"/>
        </w:tabs>
        <w:jc w:val="both"/>
        <w:rPr>
          <w:b/>
        </w:rPr>
      </w:pPr>
      <w:r w:rsidRPr="00637A6B">
        <w:rPr>
          <w:b/>
        </w:rPr>
        <w:t>6.2. Термін придатності</w:t>
      </w:r>
    </w:p>
    <w:p w14:paraId="078C0A4F" w14:textId="77777777" w:rsidR="00EC4279" w:rsidRPr="00637A6B" w:rsidRDefault="00EC4279" w:rsidP="00EC4279">
      <w:pPr>
        <w:tabs>
          <w:tab w:val="left" w:pos="284"/>
        </w:tabs>
        <w:jc w:val="both"/>
      </w:pPr>
      <w:bookmarkStart w:id="5" w:name="OLE_LINK107"/>
      <w:bookmarkStart w:id="6" w:name="OLE_LINK106"/>
      <w:r w:rsidRPr="00637A6B">
        <w:t>36 місяців.</w:t>
      </w:r>
    </w:p>
    <w:p w14:paraId="22743997" w14:textId="77777777" w:rsidR="00EC4279" w:rsidRPr="00637A6B" w:rsidRDefault="00EC4279" w:rsidP="00EC4279">
      <w:pPr>
        <w:tabs>
          <w:tab w:val="left" w:pos="0"/>
        </w:tabs>
        <w:jc w:val="both"/>
      </w:pPr>
      <w:r w:rsidRPr="00637A6B">
        <w:lastRenderedPageBreak/>
        <w:t>Використати увесь вміст після першого відкриття.</w:t>
      </w:r>
    </w:p>
    <w:bookmarkEnd w:id="5"/>
    <w:bookmarkEnd w:id="6"/>
    <w:p w14:paraId="5FD214DE" w14:textId="77777777" w:rsidR="00EC4279" w:rsidRPr="00637A6B" w:rsidRDefault="00EC4279" w:rsidP="00EC4279">
      <w:pPr>
        <w:tabs>
          <w:tab w:val="left" w:pos="284"/>
        </w:tabs>
        <w:jc w:val="both"/>
        <w:rPr>
          <w:b/>
        </w:rPr>
      </w:pPr>
      <w:r w:rsidRPr="00637A6B">
        <w:rPr>
          <w:b/>
        </w:rPr>
        <w:t>6.3. Особливі застереження щодо зберігання</w:t>
      </w:r>
    </w:p>
    <w:p w14:paraId="19777FA3" w14:textId="77777777" w:rsidR="00EC4279" w:rsidRPr="00916010" w:rsidRDefault="00EC4279" w:rsidP="00EC4279">
      <w:pPr>
        <w:jc w:val="both"/>
        <w:rPr>
          <w:color w:val="FF0000"/>
        </w:rPr>
      </w:pPr>
      <w:r w:rsidRPr="00637A6B">
        <w:t>Зберігати та транспортуват</w:t>
      </w:r>
      <w:r w:rsidR="008A50FA">
        <w:t xml:space="preserve">и вакцину при температурі мінус </w:t>
      </w:r>
      <w:r w:rsidRPr="00637A6B">
        <w:t xml:space="preserve">196 </w:t>
      </w:r>
      <w:r w:rsidRPr="00637A6B">
        <w:rPr>
          <w:vertAlign w:val="superscript"/>
        </w:rPr>
        <w:t>0</w:t>
      </w:r>
      <w:r w:rsidRPr="00637A6B">
        <w:t xml:space="preserve">С в рідкому азоті. </w:t>
      </w:r>
    </w:p>
    <w:p w14:paraId="186854C7" w14:textId="577A9109" w:rsidR="00EC4279" w:rsidRPr="006C7331" w:rsidRDefault="00EC4279" w:rsidP="00EC4279">
      <w:pPr>
        <w:tabs>
          <w:tab w:val="left" w:pos="284"/>
        </w:tabs>
        <w:jc w:val="both"/>
        <w:rPr>
          <w:b/>
          <w:lang w:val="ru-RU"/>
        </w:rPr>
      </w:pPr>
      <w:r w:rsidRPr="00637A6B">
        <w:rPr>
          <w:b/>
        </w:rPr>
        <w:t xml:space="preserve">6.4. Природа і склад контейнера первинного </w:t>
      </w:r>
      <w:r w:rsidR="00625F87">
        <w:rPr>
          <w:b/>
        </w:rPr>
        <w:t>пак</w:t>
      </w:r>
      <w:r w:rsidR="00821C3D">
        <w:rPr>
          <w:b/>
        </w:rPr>
        <w:t>о</w:t>
      </w:r>
      <w:r w:rsidR="00625F87">
        <w:rPr>
          <w:b/>
        </w:rPr>
        <w:t>вання</w:t>
      </w:r>
    </w:p>
    <w:p w14:paraId="7589117C" w14:textId="77777777" w:rsidR="00EC4279" w:rsidRPr="00A30CE3" w:rsidRDefault="00252A62" w:rsidP="00EC4279">
      <w:pPr>
        <w:pStyle w:val="msonormalcxspmiddle"/>
        <w:tabs>
          <w:tab w:val="left" w:pos="-136"/>
          <w:tab w:val="left" w:pos="0"/>
          <w:tab w:val="left" w:pos="146"/>
          <w:tab w:val="left" w:pos="714"/>
          <w:tab w:val="left" w:pos="1005"/>
          <w:tab w:val="left" w:pos="1291"/>
          <w:tab w:val="left" w:pos="1576"/>
          <w:tab w:val="left" w:pos="1862"/>
          <w:tab w:val="left" w:pos="2148"/>
          <w:tab w:val="left" w:pos="2433"/>
          <w:tab w:val="left" w:pos="2719"/>
          <w:tab w:val="left" w:pos="3004"/>
          <w:tab w:val="left" w:pos="3290"/>
          <w:tab w:val="left" w:pos="3576"/>
          <w:tab w:val="left" w:pos="3861"/>
          <w:tab w:val="left" w:pos="4147"/>
          <w:tab w:val="left" w:pos="4432"/>
          <w:tab w:val="left" w:pos="5575"/>
          <w:tab w:val="left" w:pos="6717"/>
          <w:tab w:val="left" w:pos="7860"/>
          <w:tab w:val="left" w:pos="9002"/>
          <w:tab w:val="left" w:pos="10144"/>
        </w:tabs>
        <w:spacing w:before="0" w:beforeAutospacing="0" w:after="0" w:afterAutospacing="0"/>
        <w:jc w:val="both"/>
        <w:rPr>
          <w:bCs/>
          <w:lang w:val="uk-UA"/>
        </w:rPr>
      </w:pPr>
      <w:r>
        <w:rPr>
          <w:bCs/>
          <w:lang w:val="uk-UA"/>
        </w:rPr>
        <w:t xml:space="preserve">Скляні ампули типу І по 1000, 2000 або </w:t>
      </w:r>
      <w:r w:rsidR="00EC4279" w:rsidRPr="00A30CE3">
        <w:rPr>
          <w:bCs/>
          <w:lang w:val="uk-UA"/>
        </w:rPr>
        <w:t>4000 доз.</w:t>
      </w:r>
    </w:p>
    <w:p w14:paraId="2670AEEB" w14:textId="77777777" w:rsidR="00EC4279" w:rsidRPr="00A30CE3" w:rsidRDefault="00EC4279" w:rsidP="00EC4279">
      <w:pPr>
        <w:pStyle w:val="msonormalcxspmiddle"/>
        <w:tabs>
          <w:tab w:val="left" w:pos="-136"/>
          <w:tab w:val="left" w:pos="0"/>
          <w:tab w:val="left" w:pos="146"/>
          <w:tab w:val="left" w:pos="714"/>
          <w:tab w:val="left" w:pos="1005"/>
          <w:tab w:val="left" w:pos="1291"/>
          <w:tab w:val="left" w:pos="1576"/>
          <w:tab w:val="left" w:pos="1862"/>
          <w:tab w:val="left" w:pos="2148"/>
          <w:tab w:val="left" w:pos="2433"/>
          <w:tab w:val="left" w:pos="2719"/>
          <w:tab w:val="left" w:pos="3004"/>
          <w:tab w:val="left" w:pos="3290"/>
          <w:tab w:val="left" w:pos="3576"/>
          <w:tab w:val="left" w:pos="3861"/>
          <w:tab w:val="left" w:pos="4147"/>
          <w:tab w:val="left" w:pos="4432"/>
          <w:tab w:val="left" w:pos="5575"/>
          <w:tab w:val="left" w:pos="6717"/>
          <w:tab w:val="left" w:pos="7860"/>
          <w:tab w:val="left" w:pos="9002"/>
          <w:tab w:val="left" w:pos="10144"/>
        </w:tabs>
        <w:spacing w:before="0" w:beforeAutospacing="0" w:after="0" w:afterAutospacing="0"/>
        <w:jc w:val="both"/>
        <w:rPr>
          <w:bCs/>
          <w:lang w:val="uk-UA"/>
        </w:rPr>
      </w:pPr>
      <w:r w:rsidRPr="00A30CE3">
        <w:rPr>
          <w:bCs/>
          <w:lang w:val="uk-UA"/>
        </w:rPr>
        <w:t>Алюмінієві штативи по 5 ампул об’ємом 2 мл однакового дозування, що зберігаються та транспортуються в контейнері з рідким азотом.</w:t>
      </w:r>
    </w:p>
    <w:p w14:paraId="4BF3445D" w14:textId="77777777" w:rsidR="00EC4279" w:rsidRPr="00637A6B" w:rsidRDefault="00EC4279" w:rsidP="00EC4279">
      <w:pPr>
        <w:tabs>
          <w:tab w:val="left" w:pos="142"/>
          <w:tab w:val="left" w:pos="284"/>
        </w:tabs>
        <w:jc w:val="both"/>
        <w:rPr>
          <w:b/>
        </w:rPr>
      </w:pPr>
      <w:r w:rsidRPr="00637A6B">
        <w:rPr>
          <w:b/>
        </w:rPr>
        <w:t>6.5. Назва та місцезнаходження власника реєстраційного посвідчення</w:t>
      </w:r>
    </w:p>
    <w:p w14:paraId="4E927934" w14:textId="77777777" w:rsidR="00EC4279" w:rsidRPr="00637A6B" w:rsidRDefault="00EC4279" w:rsidP="00EC4279">
      <w:pPr>
        <w:tabs>
          <w:tab w:val="left" w:pos="284"/>
        </w:tabs>
        <w:jc w:val="both"/>
      </w:pPr>
      <w:r w:rsidRPr="00637A6B">
        <w:t xml:space="preserve">Берінгер Інгельхайм Ветмедіка ГмбХ, </w:t>
      </w:r>
      <w:smartTag w:uri="urn:schemas-microsoft-com:office:smarttags" w:element="metricconverter">
        <w:smartTagPr>
          <w:attr w:name="ProductID" w:val="55216 м"/>
        </w:smartTagPr>
        <w:r w:rsidRPr="00637A6B">
          <w:t>55216 м</w:t>
        </w:r>
      </w:smartTag>
      <w:r w:rsidRPr="00637A6B">
        <w:t>. Інгельхайм-на-Рейні, Німеччина.</w:t>
      </w:r>
    </w:p>
    <w:p w14:paraId="64409C6D" w14:textId="77777777" w:rsidR="00EC4279" w:rsidRPr="00637A6B" w:rsidRDefault="00EC4279" w:rsidP="00EC4279">
      <w:pPr>
        <w:tabs>
          <w:tab w:val="left" w:pos="142"/>
          <w:tab w:val="left" w:pos="284"/>
        </w:tabs>
        <w:jc w:val="both"/>
        <w:rPr>
          <w:b/>
        </w:rPr>
      </w:pPr>
      <w:r w:rsidRPr="00637A6B">
        <w:rPr>
          <w:b/>
        </w:rPr>
        <w:t xml:space="preserve">6.6. Назва та місцезнаходження виробників </w:t>
      </w:r>
    </w:p>
    <w:p w14:paraId="1DBDE7F4" w14:textId="77777777" w:rsidR="00EC4279" w:rsidRPr="00637A6B" w:rsidRDefault="00EC4279" w:rsidP="00EC4279">
      <w:pPr>
        <w:jc w:val="both"/>
      </w:pPr>
      <w:r w:rsidRPr="00637A6B">
        <w:t>Берінгер Інгельхайм Енімал Хелс Ю.Ес.Ей Інк., 1168 Аеропорт Парквей, Гейнсвіль, Джорджія, 30501, США.</w:t>
      </w:r>
      <w:bookmarkStart w:id="7" w:name="531"/>
      <w:bookmarkEnd w:id="7"/>
      <w:r w:rsidRPr="00637A6B">
        <w:t xml:space="preserve"> </w:t>
      </w:r>
    </w:p>
    <w:p w14:paraId="197833C4" w14:textId="77777777" w:rsidR="00EC4279" w:rsidRPr="00637A6B" w:rsidRDefault="00EC4279" w:rsidP="00EC4279">
      <w:pPr>
        <w:tabs>
          <w:tab w:val="left" w:pos="284"/>
        </w:tabs>
        <w:jc w:val="both"/>
        <w:rPr>
          <w:b/>
        </w:rPr>
      </w:pPr>
      <w:r w:rsidRPr="00637A6B">
        <w:rPr>
          <w:b/>
        </w:rPr>
        <w:t>6.7. Особливі заходи безпеки при поводженні з невикористаним засобом</w:t>
      </w:r>
    </w:p>
    <w:p w14:paraId="33669B8E" w14:textId="77777777" w:rsidR="00EC4279" w:rsidRPr="00637A6B" w:rsidRDefault="00EC4279" w:rsidP="00EC4279">
      <w:pPr>
        <w:tabs>
          <w:tab w:val="left" w:pos="284"/>
        </w:tabs>
        <w:jc w:val="both"/>
      </w:pPr>
      <w:r w:rsidRPr="00637A6B">
        <w:t>Знищити флакон та залишки вакцини відповідно до вимог місцевого законодавства.</w:t>
      </w:r>
    </w:p>
    <w:p w14:paraId="026A56A7" w14:textId="77777777" w:rsidR="00EC4279" w:rsidRPr="00637A6B" w:rsidRDefault="00EC4279" w:rsidP="00EC4279">
      <w:pPr>
        <w:tabs>
          <w:tab w:val="left" w:pos="284"/>
        </w:tabs>
        <w:jc w:val="both"/>
      </w:pPr>
      <w:r w:rsidRPr="00637A6B">
        <w:rPr>
          <w:b/>
        </w:rPr>
        <w:t>6.8. Правила відпуску</w:t>
      </w:r>
    </w:p>
    <w:p w14:paraId="448B03C2" w14:textId="77777777" w:rsidR="00EC4279" w:rsidRPr="00637A6B" w:rsidRDefault="00EC4279" w:rsidP="00EC4279">
      <w:pPr>
        <w:tabs>
          <w:tab w:val="left" w:pos="284"/>
        </w:tabs>
        <w:jc w:val="both"/>
      </w:pPr>
      <w:r w:rsidRPr="00637A6B">
        <w:t>Відпускається за рецептом.</w:t>
      </w:r>
    </w:p>
    <w:p w14:paraId="241C0112" w14:textId="77777777" w:rsidR="00EC4279" w:rsidRPr="00637A6B" w:rsidRDefault="00EC4279" w:rsidP="00EC4279">
      <w:pPr>
        <w:tabs>
          <w:tab w:val="left" w:pos="284"/>
        </w:tabs>
        <w:jc w:val="both"/>
        <w:rPr>
          <w:b/>
        </w:rPr>
      </w:pPr>
      <w:r w:rsidRPr="00637A6B">
        <w:rPr>
          <w:b/>
        </w:rPr>
        <w:t>7. Додаткова інформація</w:t>
      </w:r>
    </w:p>
    <w:p w14:paraId="6161E6FB" w14:textId="77777777" w:rsidR="00EC4279" w:rsidRPr="00637A6B" w:rsidRDefault="00EC4279" w:rsidP="00EC4279">
      <w:pPr>
        <w:jc w:val="both"/>
      </w:pPr>
      <w:r w:rsidRPr="00637A6B">
        <w:t xml:space="preserve">Якщо препарат не відповідає вимогам листівки-вкладки або виникли ускладнення, застосування цієї серії негайно припиняють і повідомляють Державний науково-контрольний інститут біотехнології і штамів мікроорганізмів (ДНКІБШМ) та постачальника (виробника). Одночасно з посланцем у ДНКІБШМ направляють, відповідно до “Вказівки про порядок пред’явлення рекламацій на біологічні препарати, що призначені для застосування у ветеринарній медицині” від </w:t>
      </w:r>
    </w:p>
    <w:p w14:paraId="03E7040D" w14:textId="77777777" w:rsidR="00EC4279" w:rsidRPr="00637A6B" w:rsidRDefault="00EC4279" w:rsidP="00EC4279">
      <w:pPr>
        <w:tabs>
          <w:tab w:val="left" w:pos="284"/>
        </w:tabs>
        <w:jc w:val="both"/>
      </w:pPr>
      <w:r w:rsidRPr="00637A6B">
        <w:t xml:space="preserve">03.06.98 № 2 три нерозкриті флакони цієї серії препарату за адресою: </w:t>
      </w:r>
      <w:smartTag w:uri="urn:schemas-microsoft-com:office:smarttags" w:element="metricconverter">
        <w:smartTagPr>
          <w:attr w:name="ProductID" w:val="03151, м"/>
        </w:smartTagPr>
        <w:r w:rsidRPr="00637A6B">
          <w:t>03151, м</w:t>
        </w:r>
      </w:smartTag>
      <w:r w:rsidRPr="00637A6B">
        <w:t>. Київ, вул. Донецька, 30, ДНКІБШМ.</w:t>
      </w:r>
    </w:p>
    <w:p w14:paraId="50932A88" w14:textId="77777777" w:rsidR="00EC4279" w:rsidRPr="00916010" w:rsidRDefault="00EC4279" w:rsidP="00EC4279">
      <w:pPr>
        <w:jc w:val="both"/>
        <w:rPr>
          <w:color w:val="FF0000"/>
        </w:rPr>
      </w:pPr>
    </w:p>
    <w:p w14:paraId="38D38C02" w14:textId="77777777" w:rsidR="00210F4E" w:rsidRPr="00CF7909" w:rsidRDefault="00CF7909">
      <w:pPr>
        <w:rPr>
          <w:lang w:val="en-US"/>
        </w:rPr>
      </w:pPr>
      <w:r>
        <w:rPr>
          <w:lang w:val="en-US"/>
        </w:rPr>
        <w:t xml:space="preserve"> </w:t>
      </w:r>
    </w:p>
    <w:sectPr w:rsidR="00210F4E" w:rsidRPr="00CF7909" w:rsidSect="006C7331">
      <w:headerReference w:type="default" r:id="rId7"/>
      <w:footerReference w:type="even" r:id="rId8"/>
      <w:footerReference w:type="default" r:id="rId9"/>
      <w:headerReference w:type="first" r:id="rId10"/>
      <w:pgSz w:w="11906" w:h="16838"/>
      <w:pgMar w:top="567" w:right="454" w:bottom="454" w:left="1134" w:header="5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A8E6" w14:textId="77777777" w:rsidR="00605FE9" w:rsidRDefault="00605FE9">
      <w:r>
        <w:separator/>
      </w:r>
    </w:p>
  </w:endnote>
  <w:endnote w:type="continuationSeparator" w:id="0">
    <w:p w14:paraId="407FF66D" w14:textId="77777777" w:rsidR="00605FE9" w:rsidRDefault="0060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45EC" w14:textId="77777777" w:rsidR="009E2294" w:rsidRDefault="009E2294" w:rsidP="00EC4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3613D2" w14:textId="77777777" w:rsidR="009E2294" w:rsidRDefault="009E2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DC44" w14:textId="77777777" w:rsidR="009E2294" w:rsidRDefault="009E2294" w:rsidP="00EC4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336">
      <w:rPr>
        <w:rStyle w:val="PageNumber"/>
        <w:noProof/>
      </w:rPr>
      <w:t>4</w:t>
    </w:r>
    <w:r>
      <w:rPr>
        <w:rStyle w:val="PageNumber"/>
      </w:rPr>
      <w:fldChar w:fldCharType="end"/>
    </w:r>
  </w:p>
  <w:p w14:paraId="5C3BEFB9" w14:textId="77777777" w:rsidR="009E2294" w:rsidRDefault="009E2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F215" w14:textId="77777777" w:rsidR="00605FE9" w:rsidRDefault="00605FE9">
      <w:r>
        <w:separator/>
      </w:r>
    </w:p>
  </w:footnote>
  <w:footnote w:type="continuationSeparator" w:id="0">
    <w:p w14:paraId="64CE9DC6" w14:textId="77777777" w:rsidR="00605FE9" w:rsidRDefault="0060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3E17" w14:textId="77777777" w:rsidR="00172933" w:rsidRPr="00493919" w:rsidRDefault="00172933" w:rsidP="00172933">
    <w:pPr>
      <w:ind w:left="6720"/>
    </w:pPr>
    <w:r>
      <w:t>Продовження додат</w:t>
    </w:r>
    <w:r w:rsidRPr="00493919">
      <w:t>к</w:t>
    </w:r>
    <w:r>
      <w:t>у</w:t>
    </w:r>
    <w:r w:rsidRPr="00493919">
      <w:t xml:space="preserve"> 1</w:t>
    </w:r>
  </w:p>
  <w:p w14:paraId="7C2FF4E2" w14:textId="77777777" w:rsidR="00172933" w:rsidRPr="00493919" w:rsidRDefault="00172933" w:rsidP="00172933">
    <w:pPr>
      <w:ind w:left="6720"/>
    </w:pPr>
    <w:r w:rsidRPr="00493919">
      <w:t>до реєстраційного посвідчення</w:t>
    </w:r>
  </w:p>
  <w:p w14:paraId="56D27E1B" w14:textId="601EC0AB" w:rsidR="00172933" w:rsidRPr="00493919" w:rsidRDefault="00172933" w:rsidP="00172933">
    <w:pPr>
      <w:ind w:left="6720"/>
    </w:pPr>
    <w:r w:rsidRPr="00493919">
      <w:t xml:space="preserve">№ </w:t>
    </w:r>
    <w:r w:rsidR="005B7965" w:rsidRPr="005B7965">
      <w:t>ВА-00971-02-20</w:t>
    </w:r>
  </w:p>
  <w:p w14:paraId="643CC353" w14:textId="77777777" w:rsidR="00172933" w:rsidRPr="00493919" w:rsidRDefault="00172933" w:rsidP="00172933">
    <w:pPr>
      <w:ind w:left="6720"/>
    </w:pPr>
    <w:r w:rsidRPr="00493919">
      <w:t xml:space="preserve">від </w:t>
    </w:r>
  </w:p>
  <w:p w14:paraId="0A1E281D" w14:textId="77777777" w:rsidR="00172933" w:rsidRDefault="00172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1AF5" w14:textId="77777777" w:rsidR="00172933" w:rsidRPr="00493919" w:rsidRDefault="00172933" w:rsidP="00172933">
    <w:pPr>
      <w:ind w:left="6720"/>
    </w:pPr>
    <w:r w:rsidRPr="00493919">
      <w:t>Додаток 1</w:t>
    </w:r>
  </w:p>
  <w:p w14:paraId="086621DF" w14:textId="77777777" w:rsidR="00172933" w:rsidRPr="00493919" w:rsidRDefault="00172933" w:rsidP="00172933">
    <w:pPr>
      <w:ind w:left="6720"/>
    </w:pPr>
    <w:r w:rsidRPr="00493919">
      <w:t>до реєстраційного посвідчення</w:t>
    </w:r>
  </w:p>
  <w:p w14:paraId="512E0B9A" w14:textId="6A828FDC" w:rsidR="00172933" w:rsidRPr="005B7965" w:rsidRDefault="00172933" w:rsidP="00172933">
    <w:pPr>
      <w:ind w:left="6720"/>
    </w:pPr>
    <w:r w:rsidRPr="00493919">
      <w:t xml:space="preserve">№ </w:t>
    </w:r>
    <w:bookmarkStart w:id="8" w:name="_Hlk198570409"/>
    <w:r w:rsidR="005B7965">
      <w:t>ВА-00971-02-20</w:t>
    </w:r>
    <w:bookmarkEnd w:id="8"/>
  </w:p>
  <w:p w14:paraId="3E46BA33" w14:textId="5D383C51" w:rsidR="00172933" w:rsidRDefault="00172933" w:rsidP="006C7331">
    <w:pPr>
      <w:ind w:left="6720"/>
    </w:pPr>
    <w:r w:rsidRPr="00493919">
      <w:t xml:space="preserve">від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E3DFF"/>
    <w:multiLevelType w:val="hybridMultilevel"/>
    <w:tmpl w:val="13EA429A"/>
    <w:lvl w:ilvl="0" w:tplc="4D24E050">
      <w:numFmt w:val="bullet"/>
      <w:lvlText w:val="-"/>
      <w:lvlJc w:val="left"/>
      <w:pPr>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0208153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79"/>
    <w:rsid w:val="000C43A4"/>
    <w:rsid w:val="000E4F90"/>
    <w:rsid w:val="0015579A"/>
    <w:rsid w:val="00172933"/>
    <w:rsid w:val="001B3F2A"/>
    <w:rsid w:val="00205057"/>
    <w:rsid w:val="00210F4E"/>
    <w:rsid w:val="00247E10"/>
    <w:rsid w:val="00252A62"/>
    <w:rsid w:val="002E4A9E"/>
    <w:rsid w:val="003011E0"/>
    <w:rsid w:val="00306178"/>
    <w:rsid w:val="003429F2"/>
    <w:rsid w:val="0036684D"/>
    <w:rsid w:val="003760DC"/>
    <w:rsid w:val="003A523F"/>
    <w:rsid w:val="004823E8"/>
    <w:rsid w:val="004C27E3"/>
    <w:rsid w:val="0051746E"/>
    <w:rsid w:val="00575A38"/>
    <w:rsid w:val="005B7965"/>
    <w:rsid w:val="00605FE9"/>
    <w:rsid w:val="00625F87"/>
    <w:rsid w:val="006277BE"/>
    <w:rsid w:val="00687163"/>
    <w:rsid w:val="006C7331"/>
    <w:rsid w:val="006E6A48"/>
    <w:rsid w:val="007531C9"/>
    <w:rsid w:val="00774C54"/>
    <w:rsid w:val="007B1110"/>
    <w:rsid w:val="007E7992"/>
    <w:rsid w:val="00821C3D"/>
    <w:rsid w:val="00824A38"/>
    <w:rsid w:val="008401D4"/>
    <w:rsid w:val="008409A4"/>
    <w:rsid w:val="00862B3A"/>
    <w:rsid w:val="008A50FA"/>
    <w:rsid w:val="008C4C90"/>
    <w:rsid w:val="008E5B6B"/>
    <w:rsid w:val="008F3A08"/>
    <w:rsid w:val="009C5AFA"/>
    <w:rsid w:val="009E2294"/>
    <w:rsid w:val="009F35A2"/>
    <w:rsid w:val="00A7766D"/>
    <w:rsid w:val="00A82392"/>
    <w:rsid w:val="00AB063F"/>
    <w:rsid w:val="00B01604"/>
    <w:rsid w:val="00B07507"/>
    <w:rsid w:val="00B52693"/>
    <w:rsid w:val="00B6084E"/>
    <w:rsid w:val="00C46BB8"/>
    <w:rsid w:val="00C80BDB"/>
    <w:rsid w:val="00CE36FB"/>
    <w:rsid w:val="00CE6ACC"/>
    <w:rsid w:val="00CF7909"/>
    <w:rsid w:val="00D7009E"/>
    <w:rsid w:val="00D842E2"/>
    <w:rsid w:val="00D955C5"/>
    <w:rsid w:val="00E1273C"/>
    <w:rsid w:val="00E61336"/>
    <w:rsid w:val="00EB40FD"/>
    <w:rsid w:val="00EC4279"/>
    <w:rsid w:val="00EF2601"/>
    <w:rsid w:val="00F07124"/>
    <w:rsid w:val="00F32E23"/>
    <w:rsid w:val="00F33C87"/>
    <w:rsid w:val="00F77D5B"/>
    <w:rsid w:val="00FF45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09B776EA"/>
  <w15:chartTrackingRefBased/>
  <w15:docId w15:val="{C3EC61C4-D525-43E9-B789-01D9B617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279"/>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EC4279"/>
    <w:pPr>
      <w:widowControl w:val="0"/>
      <w:autoSpaceDE w:val="0"/>
      <w:autoSpaceDN w:val="0"/>
      <w:adjustRightInd w:val="0"/>
      <w:spacing w:line="278" w:lineRule="exact"/>
      <w:jc w:val="both"/>
    </w:pPr>
    <w:rPr>
      <w:lang w:val="ru-RU"/>
    </w:rPr>
  </w:style>
  <w:style w:type="paragraph" w:customStyle="1" w:styleId="Style7">
    <w:name w:val="Style7"/>
    <w:basedOn w:val="Normal"/>
    <w:rsid w:val="00EC4279"/>
    <w:pPr>
      <w:widowControl w:val="0"/>
      <w:autoSpaceDE w:val="0"/>
      <w:autoSpaceDN w:val="0"/>
      <w:adjustRightInd w:val="0"/>
      <w:spacing w:line="259" w:lineRule="exact"/>
      <w:jc w:val="both"/>
    </w:pPr>
    <w:rPr>
      <w:rFonts w:ascii="Arial Narrow" w:hAnsi="Arial Narrow"/>
      <w:lang w:val="ru-RU"/>
    </w:rPr>
  </w:style>
  <w:style w:type="paragraph" w:customStyle="1" w:styleId="Style3">
    <w:name w:val="Style3"/>
    <w:basedOn w:val="Normal"/>
    <w:rsid w:val="00EC4279"/>
    <w:pPr>
      <w:widowControl w:val="0"/>
      <w:autoSpaceDE w:val="0"/>
      <w:autoSpaceDN w:val="0"/>
      <w:adjustRightInd w:val="0"/>
    </w:pPr>
    <w:rPr>
      <w:lang w:val="ru-RU"/>
    </w:rPr>
  </w:style>
  <w:style w:type="character" w:customStyle="1" w:styleId="FontStyle15">
    <w:name w:val="Font Style15"/>
    <w:rsid w:val="00EC4279"/>
    <w:rPr>
      <w:rFonts w:ascii="Times New Roman" w:hAnsi="Times New Roman" w:cs="Times New Roman" w:hint="default"/>
      <w:sz w:val="20"/>
      <w:szCs w:val="20"/>
    </w:rPr>
  </w:style>
  <w:style w:type="character" w:customStyle="1" w:styleId="hps">
    <w:name w:val="hps"/>
    <w:basedOn w:val="DefaultParagraphFont"/>
    <w:rsid w:val="00EC4279"/>
  </w:style>
  <w:style w:type="paragraph" w:customStyle="1" w:styleId="msonormalcxspmiddle">
    <w:name w:val="msonormalcxspmiddle"/>
    <w:basedOn w:val="Normal"/>
    <w:rsid w:val="00EC4279"/>
    <w:pPr>
      <w:spacing w:before="100" w:beforeAutospacing="1" w:after="100" w:afterAutospacing="1"/>
    </w:pPr>
    <w:rPr>
      <w:lang w:val="ru-RU"/>
    </w:rPr>
  </w:style>
  <w:style w:type="paragraph" w:styleId="Footer">
    <w:name w:val="footer"/>
    <w:basedOn w:val="Normal"/>
    <w:rsid w:val="00EC4279"/>
    <w:pPr>
      <w:tabs>
        <w:tab w:val="center" w:pos="4677"/>
        <w:tab w:val="right" w:pos="9355"/>
      </w:tabs>
    </w:pPr>
  </w:style>
  <w:style w:type="character" w:styleId="PageNumber">
    <w:name w:val="page number"/>
    <w:basedOn w:val="DefaultParagraphFont"/>
    <w:rsid w:val="00EC4279"/>
  </w:style>
  <w:style w:type="paragraph" w:styleId="BalloonText">
    <w:name w:val="Balloon Text"/>
    <w:basedOn w:val="Normal"/>
    <w:link w:val="BalloonTextChar"/>
    <w:rsid w:val="00D955C5"/>
    <w:rPr>
      <w:rFonts w:ascii="Segoe UI" w:hAnsi="Segoe UI" w:cs="Segoe UI"/>
      <w:sz w:val="18"/>
      <w:szCs w:val="18"/>
    </w:rPr>
  </w:style>
  <w:style w:type="character" w:customStyle="1" w:styleId="BalloonTextChar">
    <w:name w:val="Balloon Text Char"/>
    <w:link w:val="BalloonText"/>
    <w:rsid w:val="00D955C5"/>
    <w:rPr>
      <w:rFonts w:ascii="Segoe UI" w:hAnsi="Segoe UI" w:cs="Segoe UI"/>
      <w:sz w:val="18"/>
      <w:szCs w:val="18"/>
      <w:lang w:eastAsia="ru-RU"/>
    </w:rPr>
  </w:style>
  <w:style w:type="paragraph" w:styleId="Header">
    <w:name w:val="header"/>
    <w:basedOn w:val="Normal"/>
    <w:link w:val="HeaderChar"/>
    <w:rsid w:val="00172933"/>
    <w:pPr>
      <w:tabs>
        <w:tab w:val="center" w:pos="4513"/>
        <w:tab w:val="right" w:pos="9026"/>
      </w:tabs>
    </w:pPr>
  </w:style>
  <w:style w:type="character" w:customStyle="1" w:styleId="HeaderChar">
    <w:name w:val="Header Char"/>
    <w:link w:val="Header"/>
    <w:rsid w:val="00172933"/>
    <w:rPr>
      <w:sz w:val="24"/>
      <w:szCs w:val="24"/>
      <w:lang w:eastAsia="ru-RU"/>
    </w:rPr>
  </w:style>
  <w:style w:type="character" w:styleId="CommentReference">
    <w:name w:val="annotation reference"/>
    <w:rsid w:val="00A82392"/>
    <w:rPr>
      <w:sz w:val="16"/>
      <w:szCs w:val="16"/>
    </w:rPr>
  </w:style>
  <w:style w:type="paragraph" w:styleId="CommentText">
    <w:name w:val="annotation text"/>
    <w:basedOn w:val="Normal"/>
    <w:link w:val="CommentTextChar"/>
    <w:rsid w:val="00A82392"/>
    <w:rPr>
      <w:sz w:val="20"/>
      <w:szCs w:val="20"/>
    </w:rPr>
  </w:style>
  <w:style w:type="character" w:customStyle="1" w:styleId="CommentTextChar">
    <w:name w:val="Comment Text Char"/>
    <w:link w:val="CommentText"/>
    <w:rsid w:val="00A82392"/>
    <w:rPr>
      <w:lang w:eastAsia="ru-RU" w:bidi="ar-SA"/>
    </w:rPr>
  </w:style>
  <w:style w:type="paragraph" w:styleId="CommentSubject">
    <w:name w:val="annotation subject"/>
    <w:basedOn w:val="CommentText"/>
    <w:next w:val="CommentText"/>
    <w:link w:val="CommentSubjectChar"/>
    <w:rsid w:val="00A82392"/>
    <w:rPr>
      <w:b/>
      <w:bCs/>
    </w:rPr>
  </w:style>
  <w:style w:type="character" w:customStyle="1" w:styleId="CommentSubjectChar">
    <w:name w:val="Comment Subject Char"/>
    <w:link w:val="CommentSubject"/>
    <w:rsid w:val="00A82392"/>
    <w:rPr>
      <w:b/>
      <w:bCs/>
      <w:lang w:eastAsia="ru-RU" w:bidi="ar-SA"/>
    </w:rPr>
  </w:style>
  <w:style w:type="paragraph" w:styleId="Revision">
    <w:name w:val="Revision"/>
    <w:hidden/>
    <w:uiPriority w:val="99"/>
    <w:semiHidden/>
    <w:rsid w:val="00625F87"/>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1308</Words>
  <Characters>8795</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Блоцкая</dc:creator>
  <cp:keywords/>
  <cp:lastModifiedBy>Romashkan,Neonila (AH RA_PV_CO) BI-UA-K</cp:lastModifiedBy>
  <cp:revision>6</cp:revision>
  <dcterms:created xsi:type="dcterms:W3CDTF">2025-02-21T12:30:00Z</dcterms:created>
  <dcterms:modified xsi:type="dcterms:W3CDTF">2025-06-20T07:34:00Z</dcterms:modified>
</cp:coreProperties>
</file>