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64C49" w14:textId="77777777" w:rsidR="00C36660" w:rsidRPr="006B3CDD" w:rsidRDefault="00C36660" w:rsidP="00C36660">
      <w:pPr>
        <w:tabs>
          <w:tab w:val="left" w:pos="6521"/>
        </w:tabs>
        <w:ind w:left="6379"/>
        <w:rPr>
          <w:szCs w:val="24"/>
          <w:lang w:val="uk-UA"/>
        </w:rPr>
      </w:pPr>
      <w:r w:rsidRPr="006B3CDD">
        <w:rPr>
          <w:szCs w:val="24"/>
          <w:lang w:val="uk-UA"/>
        </w:rPr>
        <w:t>Додаток 1</w:t>
      </w:r>
    </w:p>
    <w:p w14:paraId="1C79482A" w14:textId="3935D9D5" w:rsidR="00C36660" w:rsidRPr="006B3CDD" w:rsidRDefault="00C36660" w:rsidP="00C36660">
      <w:pPr>
        <w:tabs>
          <w:tab w:val="left" w:pos="6521"/>
        </w:tabs>
        <w:ind w:left="6379"/>
        <w:rPr>
          <w:szCs w:val="24"/>
          <w:lang w:val="uk-UA"/>
        </w:rPr>
      </w:pPr>
      <w:r w:rsidRPr="006B3CDD">
        <w:rPr>
          <w:szCs w:val="24"/>
          <w:lang w:val="uk-UA"/>
        </w:rPr>
        <w:t>до реєстраційного посвідчення</w:t>
      </w:r>
    </w:p>
    <w:p w14:paraId="73D23D36" w14:textId="61F299D7" w:rsidR="00C36660" w:rsidRPr="006B3CDD" w:rsidRDefault="00C36660" w:rsidP="00C36660">
      <w:pPr>
        <w:tabs>
          <w:tab w:val="left" w:pos="6521"/>
        </w:tabs>
        <w:ind w:left="6379"/>
        <w:rPr>
          <w:szCs w:val="24"/>
          <w:lang w:val="uk-UA"/>
        </w:rPr>
      </w:pPr>
      <w:r w:rsidRPr="006B3CDD">
        <w:rPr>
          <w:szCs w:val="24"/>
          <w:lang w:val="uk-UA"/>
        </w:rPr>
        <w:t xml:space="preserve">№ </w:t>
      </w:r>
    </w:p>
    <w:p w14:paraId="6383252B" w14:textId="3304C8AA" w:rsidR="00C36660" w:rsidRPr="006B3CDD" w:rsidRDefault="00C36660" w:rsidP="00C36660">
      <w:pPr>
        <w:tabs>
          <w:tab w:val="left" w:pos="6521"/>
        </w:tabs>
        <w:ind w:left="6379"/>
        <w:rPr>
          <w:lang w:val="uk-UA"/>
        </w:rPr>
      </w:pPr>
      <w:r w:rsidRPr="006B3CDD">
        <w:rPr>
          <w:szCs w:val="24"/>
          <w:lang w:val="uk-UA"/>
        </w:rPr>
        <w:t xml:space="preserve">від </w:t>
      </w:r>
    </w:p>
    <w:p w14:paraId="56012856" w14:textId="77777777" w:rsidR="00B212E3" w:rsidRPr="006B3CDD" w:rsidRDefault="00B212E3" w:rsidP="005D4D68">
      <w:pPr>
        <w:jc w:val="right"/>
        <w:rPr>
          <w:b/>
          <w:bCs/>
          <w:szCs w:val="24"/>
          <w:lang w:val="uk-UA"/>
        </w:rPr>
      </w:pPr>
    </w:p>
    <w:p w14:paraId="0575465C" w14:textId="77777777" w:rsidR="00B212E3" w:rsidRPr="006B3CDD" w:rsidRDefault="00B212E3" w:rsidP="005D4D68">
      <w:pPr>
        <w:jc w:val="center"/>
        <w:rPr>
          <w:b/>
          <w:bCs/>
          <w:szCs w:val="24"/>
          <w:lang w:val="uk-UA"/>
        </w:rPr>
      </w:pPr>
      <w:r w:rsidRPr="006B3CDD">
        <w:rPr>
          <w:b/>
          <w:bCs/>
          <w:szCs w:val="24"/>
          <w:lang w:val="uk-UA"/>
        </w:rPr>
        <w:t>Коротка характеристика препарату</w:t>
      </w:r>
    </w:p>
    <w:p w14:paraId="7F18E619" w14:textId="77777777" w:rsidR="00096459" w:rsidRPr="006B3CDD" w:rsidRDefault="00096459" w:rsidP="005D4D68">
      <w:pPr>
        <w:jc w:val="both"/>
        <w:rPr>
          <w:szCs w:val="24"/>
          <w:lang w:val="uk-UA"/>
        </w:rPr>
      </w:pPr>
    </w:p>
    <w:p w14:paraId="79405380" w14:textId="77777777" w:rsidR="005D4D68" w:rsidRPr="006B3CDD" w:rsidRDefault="005D4D68" w:rsidP="005D4D68">
      <w:pPr>
        <w:jc w:val="both"/>
        <w:rPr>
          <w:b/>
          <w:szCs w:val="24"/>
          <w:lang w:val="uk-UA"/>
        </w:rPr>
      </w:pPr>
      <w:r w:rsidRPr="006B3CDD">
        <w:rPr>
          <w:b/>
          <w:bCs/>
          <w:szCs w:val="24"/>
          <w:lang w:val="uk-UA"/>
        </w:rPr>
        <w:t xml:space="preserve">1. Назва </w:t>
      </w:r>
      <w:r w:rsidRPr="006B3CDD">
        <w:rPr>
          <w:b/>
          <w:szCs w:val="24"/>
          <w:lang w:val="uk-UA"/>
        </w:rPr>
        <w:t>ветеринарного препарату</w:t>
      </w:r>
    </w:p>
    <w:p w14:paraId="33D0509C" w14:textId="1FF39150" w:rsidR="005B513C" w:rsidRPr="006B3CDD" w:rsidRDefault="00077114" w:rsidP="005B513C">
      <w:pPr>
        <w:tabs>
          <w:tab w:val="right" w:leader="dot" w:pos="8222"/>
        </w:tabs>
        <w:jc w:val="both"/>
        <w:rPr>
          <w:bCs/>
          <w:lang w:val="uk-UA"/>
        </w:rPr>
      </w:pPr>
      <w:r w:rsidRPr="006B3CDD">
        <w:rPr>
          <w:lang w:val="uk-UA"/>
        </w:rPr>
        <w:t>СТАРТВАК</w:t>
      </w:r>
      <w:r w:rsidR="005B513C" w:rsidRPr="006B3CDD">
        <w:rPr>
          <w:lang w:val="uk-UA"/>
        </w:rPr>
        <w:t xml:space="preserve">, </w:t>
      </w:r>
      <w:r w:rsidRPr="006B3CDD">
        <w:rPr>
          <w:lang w:val="uk-UA"/>
        </w:rPr>
        <w:t>START</w:t>
      </w:r>
      <w:r w:rsidR="005B513C" w:rsidRPr="006B3CDD">
        <w:rPr>
          <w:lang w:val="uk-UA"/>
        </w:rPr>
        <w:t xml:space="preserve">VAC – </w:t>
      </w:r>
      <w:r w:rsidR="00981902" w:rsidRPr="006B3CDD">
        <w:rPr>
          <w:lang w:val="uk-UA"/>
        </w:rPr>
        <w:t>вакцина інактивована проти маститу великої рогатої худоби.</w:t>
      </w:r>
      <w:r w:rsidR="00981902" w:rsidRPr="006B3CDD">
        <w:rPr>
          <w:bCs/>
          <w:lang w:val="uk-UA"/>
        </w:rPr>
        <w:t xml:space="preserve"> </w:t>
      </w:r>
    </w:p>
    <w:p w14:paraId="59B134EE" w14:textId="77777777" w:rsidR="005D4D68" w:rsidRPr="006B3CDD" w:rsidRDefault="005D4D68" w:rsidP="005D4D68">
      <w:pPr>
        <w:jc w:val="both"/>
        <w:rPr>
          <w:b/>
          <w:bCs/>
          <w:szCs w:val="24"/>
          <w:lang w:val="uk-UA"/>
        </w:rPr>
      </w:pPr>
      <w:r w:rsidRPr="006B3CDD">
        <w:rPr>
          <w:b/>
          <w:bCs/>
          <w:szCs w:val="24"/>
          <w:lang w:val="uk-UA"/>
        </w:rPr>
        <w:t>2. Якісний та кількісний склад</w:t>
      </w:r>
    </w:p>
    <w:p w14:paraId="7C38D3F8" w14:textId="77777777" w:rsidR="00981902" w:rsidRPr="006B3CDD" w:rsidRDefault="00981902" w:rsidP="00474292">
      <w:pPr>
        <w:jc w:val="both"/>
        <w:rPr>
          <w:u w:val="single"/>
          <w:lang w:val="uk-UA"/>
        </w:rPr>
      </w:pPr>
      <w:r w:rsidRPr="006B3CDD">
        <w:rPr>
          <w:u w:val="single"/>
          <w:lang w:val="uk-UA"/>
        </w:rPr>
        <w:t>Склад однієї дози (2 мл):</w:t>
      </w:r>
    </w:p>
    <w:p w14:paraId="7E624709" w14:textId="77777777" w:rsidR="00981902" w:rsidRPr="006B3CDD" w:rsidRDefault="00981902" w:rsidP="00474292">
      <w:pPr>
        <w:jc w:val="both"/>
        <w:rPr>
          <w:lang w:val="uk-UA"/>
        </w:rPr>
      </w:pPr>
      <w:r w:rsidRPr="006B3CDD">
        <w:rPr>
          <w:lang w:val="uk-UA"/>
        </w:rPr>
        <w:t>Активні компоненти:</w:t>
      </w:r>
    </w:p>
    <w:p w14:paraId="0E39706B" w14:textId="7C0EF678" w:rsidR="00981902" w:rsidRPr="006B3CDD" w:rsidRDefault="00981902" w:rsidP="00474292">
      <w:pPr>
        <w:jc w:val="both"/>
        <w:rPr>
          <w:lang w:val="uk-UA"/>
        </w:rPr>
      </w:pPr>
      <w:r w:rsidRPr="006B3CDD">
        <w:rPr>
          <w:lang w:val="uk-UA"/>
        </w:rPr>
        <w:t xml:space="preserve">Інактивована </w:t>
      </w:r>
      <w:r w:rsidRPr="006B3CDD">
        <w:rPr>
          <w:i/>
          <w:lang w:val="uk-UA"/>
        </w:rPr>
        <w:t>Escherichia coli</w:t>
      </w:r>
      <w:r w:rsidRPr="006B3CDD">
        <w:rPr>
          <w:lang w:val="uk-UA"/>
        </w:rPr>
        <w:t xml:space="preserve"> J5 ................................................................................ &gt; 50 RED60* Інактивований </w:t>
      </w:r>
      <w:r w:rsidRPr="006B3CDD">
        <w:rPr>
          <w:i/>
          <w:lang w:val="uk-UA"/>
        </w:rPr>
        <w:t>Staphylococcus aureus</w:t>
      </w:r>
      <w:r w:rsidRPr="006B3CDD">
        <w:rPr>
          <w:lang w:val="uk-UA"/>
        </w:rPr>
        <w:t xml:space="preserve"> (CP8) штам SP140, експресуючий слиз асоційований антигенний комплекс (SAAC) ................................................................................... &gt; 50 RED80**</w:t>
      </w:r>
    </w:p>
    <w:p w14:paraId="5BF07741" w14:textId="77777777" w:rsidR="00981902" w:rsidRPr="006B3CDD" w:rsidRDefault="00981902" w:rsidP="006B3CDD">
      <w:pPr>
        <w:jc w:val="both"/>
        <w:rPr>
          <w:sz w:val="22"/>
          <w:szCs w:val="22"/>
          <w:lang w:val="uk-UA"/>
        </w:rPr>
      </w:pPr>
      <w:r w:rsidRPr="006B3CDD">
        <w:rPr>
          <w:sz w:val="22"/>
          <w:szCs w:val="22"/>
          <w:lang w:val="uk-UA"/>
        </w:rPr>
        <w:t>* RED60: Ефективна доза для 60% кролів (серологічно).</w:t>
      </w:r>
    </w:p>
    <w:p w14:paraId="0BFDD855" w14:textId="77777777" w:rsidR="00981902" w:rsidRPr="006B3CDD" w:rsidRDefault="00981902" w:rsidP="006B3CDD">
      <w:pPr>
        <w:jc w:val="both"/>
        <w:rPr>
          <w:sz w:val="22"/>
          <w:szCs w:val="22"/>
          <w:lang w:val="uk-UA"/>
        </w:rPr>
      </w:pPr>
      <w:r w:rsidRPr="006B3CDD">
        <w:rPr>
          <w:sz w:val="22"/>
          <w:szCs w:val="22"/>
          <w:lang w:val="uk-UA"/>
        </w:rPr>
        <w:t>** RED80: Ефективна доза для 80 % кролів (серологічно).</w:t>
      </w:r>
    </w:p>
    <w:p w14:paraId="49FF5D0C" w14:textId="77777777" w:rsidR="0080093D" w:rsidRPr="006B3CDD" w:rsidRDefault="0080093D" w:rsidP="00474292">
      <w:pPr>
        <w:jc w:val="both"/>
        <w:rPr>
          <w:lang w:val="uk-UA"/>
        </w:rPr>
      </w:pPr>
      <w:r w:rsidRPr="006B3CDD">
        <w:rPr>
          <w:lang w:val="uk-UA"/>
        </w:rPr>
        <w:t>Допоміжні речовини:</w:t>
      </w:r>
    </w:p>
    <w:p w14:paraId="756A0D57" w14:textId="58DF154C" w:rsidR="00981902" w:rsidRPr="006B3CDD" w:rsidRDefault="0080093D" w:rsidP="00474292">
      <w:pPr>
        <w:jc w:val="both"/>
        <w:rPr>
          <w:lang w:val="uk-UA"/>
        </w:rPr>
      </w:pPr>
      <w:r w:rsidRPr="006B3CDD">
        <w:rPr>
          <w:lang w:val="uk-UA"/>
        </w:rPr>
        <w:t>Р</w:t>
      </w:r>
      <w:r w:rsidR="00981902" w:rsidRPr="006B3CDD">
        <w:rPr>
          <w:lang w:val="uk-UA"/>
        </w:rPr>
        <w:t>ідкий парафін, бензиловий спирт</w:t>
      </w:r>
      <w:r w:rsidR="000E2A87">
        <w:rPr>
          <w:lang w:val="es-ES"/>
        </w:rPr>
        <w:t>.</w:t>
      </w:r>
    </w:p>
    <w:p w14:paraId="20B0E2C3" w14:textId="77777777" w:rsidR="005D4D68" w:rsidRPr="006B3CDD" w:rsidRDefault="005D4D68" w:rsidP="005D4D68">
      <w:pPr>
        <w:jc w:val="both"/>
        <w:rPr>
          <w:b/>
          <w:bCs/>
          <w:szCs w:val="24"/>
          <w:lang w:val="uk-UA"/>
        </w:rPr>
      </w:pPr>
      <w:r w:rsidRPr="006B3CDD">
        <w:rPr>
          <w:b/>
          <w:bCs/>
          <w:szCs w:val="24"/>
          <w:lang w:val="uk-UA"/>
        </w:rPr>
        <w:t>3. Фармацевтична форма</w:t>
      </w:r>
    </w:p>
    <w:p w14:paraId="3CF804D1" w14:textId="03670A5B" w:rsidR="00096459" w:rsidRPr="006B3CDD" w:rsidRDefault="00712B30" w:rsidP="005D4D68">
      <w:pPr>
        <w:jc w:val="both"/>
        <w:rPr>
          <w:szCs w:val="24"/>
          <w:lang w:val="uk-UA"/>
        </w:rPr>
      </w:pPr>
      <w:r w:rsidRPr="006B3CDD">
        <w:rPr>
          <w:lang w:val="uk-UA"/>
        </w:rPr>
        <w:t>Емульсія</w:t>
      </w:r>
      <w:r w:rsidRPr="006B3CDD">
        <w:rPr>
          <w:szCs w:val="24"/>
          <w:lang w:val="uk-UA"/>
        </w:rPr>
        <w:t xml:space="preserve"> </w:t>
      </w:r>
      <w:r w:rsidR="00E66CE3" w:rsidRPr="006B3CDD">
        <w:rPr>
          <w:szCs w:val="24"/>
          <w:lang w:val="uk-UA"/>
        </w:rPr>
        <w:t>для ін'єкцій.</w:t>
      </w:r>
    </w:p>
    <w:p w14:paraId="11DDA5B0" w14:textId="77777777" w:rsidR="005D4D68" w:rsidRPr="006B3CDD" w:rsidRDefault="005D4D68" w:rsidP="005D4D68">
      <w:pPr>
        <w:jc w:val="both"/>
        <w:rPr>
          <w:b/>
          <w:bCs/>
          <w:szCs w:val="24"/>
          <w:lang w:val="uk-UA"/>
        </w:rPr>
      </w:pPr>
      <w:r w:rsidRPr="006B3CDD">
        <w:rPr>
          <w:b/>
          <w:bCs/>
          <w:szCs w:val="24"/>
          <w:lang w:val="uk-UA"/>
        </w:rPr>
        <w:t>4. Імунобіологічні властивості</w:t>
      </w:r>
    </w:p>
    <w:p w14:paraId="382CAAE4" w14:textId="5337BB97" w:rsidR="009329EA" w:rsidRPr="006B3CDD" w:rsidRDefault="009329EA" w:rsidP="00464F5C">
      <w:pPr>
        <w:jc w:val="both"/>
        <w:rPr>
          <w:szCs w:val="24"/>
          <w:lang w:val="uk-UA"/>
        </w:rPr>
      </w:pPr>
      <w:r w:rsidRPr="006B3CDD">
        <w:rPr>
          <w:lang w:val="uk-UA"/>
        </w:rPr>
        <w:t xml:space="preserve">Стимуляція активного імунітету проти </w:t>
      </w:r>
      <w:r w:rsidR="00B735FA" w:rsidRPr="006B3CDD">
        <w:rPr>
          <w:i/>
          <w:lang w:val="uk-UA"/>
        </w:rPr>
        <w:t>Staphylococcus aureus</w:t>
      </w:r>
      <w:r w:rsidRPr="006B3CDD">
        <w:rPr>
          <w:lang w:val="uk-UA"/>
        </w:rPr>
        <w:t xml:space="preserve">, </w:t>
      </w:r>
      <w:r w:rsidR="000E2A87" w:rsidRPr="00733EC4">
        <w:rPr>
          <w:lang w:val="uk-UA"/>
        </w:rPr>
        <w:t>коліформних</w:t>
      </w:r>
      <w:r w:rsidRPr="006B3CDD">
        <w:rPr>
          <w:lang w:val="uk-UA"/>
        </w:rPr>
        <w:t>бактерій та коагулазонегативних стафілококів.</w:t>
      </w:r>
    </w:p>
    <w:p w14:paraId="0AC15F21" w14:textId="77777777" w:rsidR="00762B49" w:rsidRPr="006B3CDD" w:rsidRDefault="00762B49" w:rsidP="00762B49">
      <w:pPr>
        <w:jc w:val="both"/>
        <w:rPr>
          <w:b/>
          <w:bCs/>
          <w:szCs w:val="24"/>
          <w:lang w:val="uk-UA"/>
        </w:rPr>
      </w:pPr>
      <w:r w:rsidRPr="006B3CDD">
        <w:rPr>
          <w:b/>
          <w:bCs/>
          <w:szCs w:val="24"/>
          <w:lang w:val="uk-UA"/>
        </w:rPr>
        <w:t>5. Клінічні особливості</w:t>
      </w:r>
    </w:p>
    <w:p w14:paraId="376B3A73" w14:textId="77777777" w:rsidR="00762B49" w:rsidRPr="006B3CDD" w:rsidRDefault="00762B49" w:rsidP="00762B49">
      <w:pPr>
        <w:jc w:val="both"/>
        <w:rPr>
          <w:b/>
          <w:bCs/>
          <w:szCs w:val="24"/>
          <w:lang w:val="uk-UA"/>
        </w:rPr>
      </w:pPr>
      <w:r w:rsidRPr="006B3CDD">
        <w:rPr>
          <w:b/>
          <w:bCs/>
          <w:szCs w:val="24"/>
          <w:lang w:val="uk-UA"/>
        </w:rPr>
        <w:t>5.1. Вид тварин</w:t>
      </w:r>
    </w:p>
    <w:p w14:paraId="27AE0FDE" w14:textId="64295918" w:rsidR="00096459" w:rsidRPr="006B3CDD" w:rsidRDefault="009329EA" w:rsidP="005D4D68">
      <w:pPr>
        <w:jc w:val="both"/>
        <w:rPr>
          <w:bCs/>
          <w:szCs w:val="24"/>
          <w:lang w:val="uk-UA"/>
        </w:rPr>
      </w:pPr>
      <w:r w:rsidRPr="006B3CDD">
        <w:rPr>
          <w:lang w:val="uk-UA"/>
        </w:rPr>
        <w:t>Велика рогата худоба (корови та телиці).</w:t>
      </w:r>
      <w:r w:rsidRPr="006B3CDD">
        <w:rPr>
          <w:szCs w:val="24"/>
          <w:lang w:val="uk-UA"/>
        </w:rPr>
        <w:t xml:space="preserve"> </w:t>
      </w:r>
    </w:p>
    <w:p w14:paraId="5BA37311" w14:textId="77777777" w:rsidR="000E5122" w:rsidRPr="006B3CDD" w:rsidRDefault="000E5122" w:rsidP="000E5122">
      <w:pPr>
        <w:pStyle w:val="Textocomentario1"/>
        <w:tabs>
          <w:tab w:val="right" w:leader="dot" w:pos="8222"/>
        </w:tabs>
        <w:jc w:val="both"/>
        <w:rPr>
          <w:b/>
          <w:bCs/>
          <w:sz w:val="24"/>
          <w:szCs w:val="24"/>
          <w:lang w:val="uk-UA"/>
        </w:rPr>
      </w:pPr>
      <w:r w:rsidRPr="006B3CDD">
        <w:rPr>
          <w:b/>
          <w:bCs/>
          <w:sz w:val="24"/>
          <w:szCs w:val="24"/>
          <w:lang w:val="uk-UA"/>
        </w:rPr>
        <w:t>5.2. Показання до застосування</w:t>
      </w:r>
    </w:p>
    <w:p w14:paraId="4BC72E45" w14:textId="1C2464B7" w:rsidR="008F1D0E" w:rsidRPr="006B3CDD" w:rsidRDefault="008F1D0E" w:rsidP="005D4D68">
      <w:pPr>
        <w:jc w:val="both"/>
        <w:rPr>
          <w:lang w:val="uk-UA"/>
        </w:rPr>
      </w:pPr>
      <w:r w:rsidRPr="006B3CDD">
        <w:rPr>
          <w:lang w:val="uk-UA"/>
        </w:rPr>
        <w:t xml:space="preserve">Для імунізації стада здорових корів та телиць, у стадах молочної худоби з повторюваними проблемами маститу, для зменшення захворюваності на субклінічний мастит, зменшення захворюваності та маніфестації клінічних ознак маститу, спричиненого </w:t>
      </w:r>
      <w:r w:rsidR="00E64A3A" w:rsidRPr="006B3CDD">
        <w:rPr>
          <w:i/>
          <w:lang w:val="uk-UA"/>
        </w:rPr>
        <w:t>Staphylococcus aureus</w:t>
      </w:r>
      <w:r w:rsidRPr="006B3CDD">
        <w:rPr>
          <w:lang w:val="uk-UA"/>
        </w:rPr>
        <w:t xml:space="preserve">, </w:t>
      </w:r>
      <w:r w:rsidR="005A5F11">
        <w:rPr>
          <w:lang w:val="uk-UA"/>
        </w:rPr>
        <w:t xml:space="preserve">коліформними </w:t>
      </w:r>
      <w:r w:rsidRPr="006B3CDD">
        <w:rPr>
          <w:lang w:val="uk-UA"/>
        </w:rPr>
        <w:t>бактеріями та коагулазонегативними стафілококами.</w:t>
      </w:r>
    </w:p>
    <w:p w14:paraId="227D0A60" w14:textId="666C9CA9" w:rsidR="008F1D0E" w:rsidRPr="006B3CDD" w:rsidRDefault="005A5F11" w:rsidP="005D4D68">
      <w:pPr>
        <w:jc w:val="both"/>
        <w:rPr>
          <w:lang w:val="uk-UA"/>
        </w:rPr>
      </w:pPr>
      <w:r>
        <w:rPr>
          <w:lang w:val="uk-UA"/>
        </w:rPr>
        <w:t xml:space="preserve">Імунітет формується в період </w:t>
      </w:r>
      <w:r w:rsidR="008F1D0E" w:rsidRPr="006B3CDD">
        <w:rPr>
          <w:lang w:val="uk-UA"/>
        </w:rPr>
        <w:t xml:space="preserve"> з 13 дня після першої ін'єкції до 78 дня після третьої ін'єкції</w:t>
      </w:r>
      <w:r w:rsidR="000D63AA">
        <w:rPr>
          <w:lang w:val="es-ES"/>
        </w:rPr>
        <w:t>.</w:t>
      </w:r>
    </w:p>
    <w:p w14:paraId="25422169" w14:textId="77777777" w:rsidR="000E5122" w:rsidRPr="006B3CDD" w:rsidRDefault="000E5122" w:rsidP="000E5122">
      <w:pPr>
        <w:jc w:val="both"/>
        <w:rPr>
          <w:b/>
          <w:bCs/>
          <w:szCs w:val="24"/>
          <w:lang w:val="uk-UA"/>
        </w:rPr>
      </w:pPr>
      <w:r w:rsidRPr="006B3CDD">
        <w:rPr>
          <w:b/>
          <w:bCs/>
          <w:szCs w:val="24"/>
          <w:lang w:val="uk-UA"/>
        </w:rPr>
        <w:t>5.3. Протипоказання</w:t>
      </w:r>
    </w:p>
    <w:p w14:paraId="27DFC300" w14:textId="2DC01D48" w:rsidR="00D53F3D" w:rsidRPr="006B3CDD" w:rsidRDefault="00D53F3D" w:rsidP="00D53F3D">
      <w:pPr>
        <w:jc w:val="both"/>
        <w:rPr>
          <w:bCs/>
          <w:szCs w:val="24"/>
          <w:lang w:val="uk-UA"/>
        </w:rPr>
      </w:pPr>
      <w:r w:rsidRPr="006B3CDD">
        <w:rPr>
          <w:bCs/>
          <w:szCs w:val="24"/>
          <w:lang w:val="uk-UA"/>
        </w:rPr>
        <w:t xml:space="preserve">Не </w:t>
      </w:r>
      <w:r w:rsidR="008F1D0E" w:rsidRPr="006B3CDD">
        <w:rPr>
          <w:bCs/>
          <w:szCs w:val="24"/>
          <w:lang w:val="uk-UA"/>
        </w:rPr>
        <w:t>в</w:t>
      </w:r>
      <w:r w:rsidR="00E64A3A" w:rsidRPr="006B3CDD">
        <w:rPr>
          <w:bCs/>
          <w:szCs w:val="24"/>
          <w:lang w:val="uk-UA"/>
        </w:rPr>
        <w:t>иявлені</w:t>
      </w:r>
      <w:r w:rsidRPr="006B3CDD">
        <w:rPr>
          <w:bCs/>
          <w:szCs w:val="24"/>
          <w:lang w:val="uk-UA"/>
        </w:rPr>
        <w:t>.</w:t>
      </w:r>
    </w:p>
    <w:p w14:paraId="6371D0EF" w14:textId="77777777" w:rsidR="000E5122" w:rsidRPr="006B3CDD" w:rsidRDefault="000E5122" w:rsidP="000E5122">
      <w:pPr>
        <w:tabs>
          <w:tab w:val="right" w:leader="dot" w:pos="8222"/>
        </w:tabs>
        <w:jc w:val="both"/>
        <w:rPr>
          <w:b/>
          <w:bCs/>
          <w:szCs w:val="24"/>
          <w:lang w:val="uk-UA"/>
        </w:rPr>
      </w:pPr>
      <w:r w:rsidRPr="006B3CDD">
        <w:rPr>
          <w:b/>
          <w:bCs/>
          <w:szCs w:val="24"/>
          <w:lang w:val="uk-UA"/>
        </w:rPr>
        <w:t>5.4. Побічна дія</w:t>
      </w:r>
    </w:p>
    <w:p w14:paraId="3FCBF92F" w14:textId="0FAAAD75" w:rsidR="008F1D0E" w:rsidRPr="006B3CDD" w:rsidRDefault="008F1D0E" w:rsidP="008F1D0E">
      <w:pPr>
        <w:jc w:val="both"/>
        <w:rPr>
          <w:szCs w:val="24"/>
          <w:lang w:val="uk-UA"/>
        </w:rPr>
      </w:pPr>
      <w:r w:rsidRPr="006B3CDD">
        <w:rPr>
          <w:lang w:val="uk-UA"/>
        </w:rPr>
        <w:t>Після вакцинації можливе виникнення незначної помірної місцевої реакції. Переважно це набряк (у середньому до 5 см</w:t>
      </w:r>
      <w:r w:rsidRPr="006B3CDD">
        <w:rPr>
          <w:vertAlign w:val="superscript"/>
          <w:lang w:val="uk-UA"/>
        </w:rPr>
        <w:t>2</w:t>
      </w:r>
      <w:r w:rsidRPr="006B3CDD">
        <w:rPr>
          <w:lang w:val="uk-UA"/>
        </w:rPr>
        <w:t>), який зникає протягом одного-двох тижнів. У деяких випадках також може виникнути біль у місці введення, що мимовільно стихає протягом 4-х днів. Протягом перших 24 год після введення можливе тимчасове підвищення температури тіла приблизно на 1</w:t>
      </w:r>
      <w:r w:rsidR="00E64A3A" w:rsidRPr="006B3CDD">
        <w:rPr>
          <w:szCs w:val="24"/>
          <w:vertAlign w:val="superscript"/>
          <w:lang w:val="uk-UA"/>
        </w:rPr>
        <w:t>0</w:t>
      </w:r>
      <w:r w:rsidR="00E64A3A" w:rsidRPr="006B3CDD">
        <w:rPr>
          <w:szCs w:val="24"/>
          <w:lang w:val="uk-UA"/>
        </w:rPr>
        <w:t>C</w:t>
      </w:r>
      <w:r w:rsidRPr="006B3CDD">
        <w:rPr>
          <w:lang w:val="uk-UA"/>
        </w:rPr>
        <w:t>, у деяких корів до 2</w:t>
      </w:r>
      <w:r w:rsidR="00E64A3A" w:rsidRPr="006B3CDD">
        <w:rPr>
          <w:lang w:val="uk-UA"/>
        </w:rPr>
        <w:t> </w:t>
      </w:r>
      <w:r w:rsidR="00E64A3A" w:rsidRPr="006B3CDD">
        <w:rPr>
          <w:szCs w:val="24"/>
          <w:vertAlign w:val="superscript"/>
          <w:lang w:val="uk-UA"/>
        </w:rPr>
        <w:t>0</w:t>
      </w:r>
      <w:r w:rsidR="00E64A3A" w:rsidRPr="006B3CDD">
        <w:rPr>
          <w:szCs w:val="24"/>
          <w:lang w:val="uk-UA"/>
        </w:rPr>
        <w:t>C</w:t>
      </w:r>
      <w:r w:rsidRPr="006B3CDD">
        <w:rPr>
          <w:lang w:val="uk-UA"/>
        </w:rPr>
        <w:t>. У деяких чутливих тварин можуть виникнути реакції анафілактичного типу, потенційно небезпечні для життя. За цих обставин слід призначити відповідне та швидке симптоматичне лікування.</w:t>
      </w:r>
    </w:p>
    <w:p w14:paraId="040CEE9E" w14:textId="77777777" w:rsidR="000E5122" w:rsidRPr="006B3CDD" w:rsidRDefault="000E5122" w:rsidP="000E5122">
      <w:pPr>
        <w:jc w:val="both"/>
        <w:rPr>
          <w:b/>
          <w:bCs/>
          <w:szCs w:val="24"/>
          <w:lang w:val="uk-UA"/>
        </w:rPr>
      </w:pPr>
      <w:r w:rsidRPr="006B3CDD">
        <w:rPr>
          <w:b/>
          <w:bCs/>
          <w:szCs w:val="24"/>
          <w:lang w:val="uk-UA"/>
        </w:rPr>
        <w:t>5.5. Особливі застереження при використанні</w:t>
      </w:r>
    </w:p>
    <w:p w14:paraId="75353E07" w14:textId="480EEBBF" w:rsidR="003807DB" w:rsidRPr="006B3CDD" w:rsidRDefault="00F22DB4" w:rsidP="00F22DB4">
      <w:pPr>
        <w:tabs>
          <w:tab w:val="left" w:pos="-142"/>
        </w:tabs>
        <w:jc w:val="both"/>
        <w:rPr>
          <w:lang w:val="uk-UA"/>
        </w:rPr>
      </w:pPr>
      <w:r w:rsidRPr="006B3CDD">
        <w:rPr>
          <w:lang w:val="uk-UA"/>
        </w:rPr>
        <w:t>Необхідно імунізувати усе стадо. Імунізацію слід розглядати як один із компонентів у комплексній програмі боротьби з маститом, яка стосується всіх важливих факторів здоров'я вимені (наприклад, техніки доїння, сухостій та управління розведенням, гігієни, харчування, утримання, підстилки, комфорту корів, якості повітря та води, диспансеризації).</w:t>
      </w:r>
      <w:r w:rsidR="00C67101" w:rsidRPr="006B3CDD">
        <w:rPr>
          <w:lang w:val="uk-UA"/>
        </w:rPr>
        <w:t xml:space="preserve"> </w:t>
      </w:r>
      <w:r w:rsidRPr="006B3CDD">
        <w:rPr>
          <w:lang w:val="uk-UA"/>
        </w:rPr>
        <w:t>Використовувати стерильне обладнання для введення препарату.</w:t>
      </w:r>
    </w:p>
    <w:p w14:paraId="02D6FD60" w14:textId="77777777" w:rsidR="00F22DB4" w:rsidRPr="006B3CDD" w:rsidRDefault="00F22DB4" w:rsidP="000E5122">
      <w:pPr>
        <w:jc w:val="both"/>
        <w:rPr>
          <w:b/>
          <w:bCs/>
          <w:szCs w:val="24"/>
          <w:lang w:val="uk-UA"/>
        </w:rPr>
      </w:pPr>
    </w:p>
    <w:p w14:paraId="4E19E4AF" w14:textId="77777777" w:rsidR="0038337F" w:rsidRPr="006B3CDD" w:rsidRDefault="0038337F" w:rsidP="0038337F">
      <w:pPr>
        <w:tabs>
          <w:tab w:val="left" w:pos="6521"/>
        </w:tabs>
        <w:ind w:left="6237"/>
        <w:rPr>
          <w:szCs w:val="24"/>
          <w:lang w:val="uk-UA"/>
        </w:rPr>
      </w:pPr>
      <w:r w:rsidRPr="006B3CDD">
        <w:rPr>
          <w:szCs w:val="24"/>
          <w:lang w:val="uk-UA"/>
        </w:rPr>
        <w:t>Продовження додатку 1</w:t>
      </w:r>
    </w:p>
    <w:p w14:paraId="5266E53D" w14:textId="1F7A7C8A" w:rsidR="0038337F" w:rsidRPr="006B3CDD" w:rsidRDefault="0038337F" w:rsidP="0038337F">
      <w:pPr>
        <w:tabs>
          <w:tab w:val="left" w:pos="6521"/>
        </w:tabs>
        <w:ind w:left="6237"/>
        <w:rPr>
          <w:szCs w:val="24"/>
          <w:lang w:val="uk-UA"/>
        </w:rPr>
      </w:pPr>
      <w:r w:rsidRPr="006B3CDD">
        <w:rPr>
          <w:szCs w:val="24"/>
          <w:lang w:val="uk-UA"/>
        </w:rPr>
        <w:t>до реєстраційного посвідчення</w:t>
      </w:r>
    </w:p>
    <w:p w14:paraId="507542EE" w14:textId="390875DA" w:rsidR="0038337F" w:rsidRPr="006B3CDD" w:rsidRDefault="0038337F" w:rsidP="0038337F">
      <w:pPr>
        <w:tabs>
          <w:tab w:val="left" w:pos="6521"/>
        </w:tabs>
        <w:ind w:left="6237"/>
        <w:rPr>
          <w:szCs w:val="24"/>
          <w:lang w:val="uk-UA"/>
        </w:rPr>
      </w:pPr>
      <w:r w:rsidRPr="006B3CDD">
        <w:rPr>
          <w:szCs w:val="24"/>
          <w:lang w:val="uk-UA"/>
        </w:rPr>
        <w:lastRenderedPageBreak/>
        <w:t xml:space="preserve">№ </w:t>
      </w:r>
    </w:p>
    <w:p w14:paraId="3D958246" w14:textId="149DFD1F" w:rsidR="0038337F" w:rsidRPr="006B3CDD" w:rsidRDefault="0038337F" w:rsidP="0038337F">
      <w:pPr>
        <w:tabs>
          <w:tab w:val="left" w:pos="6521"/>
        </w:tabs>
        <w:ind w:left="6237"/>
        <w:rPr>
          <w:lang w:val="uk-UA"/>
        </w:rPr>
      </w:pPr>
      <w:r w:rsidRPr="006B3CDD">
        <w:rPr>
          <w:szCs w:val="24"/>
          <w:lang w:val="uk-UA"/>
        </w:rPr>
        <w:t xml:space="preserve">від </w:t>
      </w:r>
    </w:p>
    <w:p w14:paraId="57F86010" w14:textId="77777777" w:rsidR="00C67101" w:rsidRPr="006B3CDD" w:rsidRDefault="00C67101" w:rsidP="003807DB">
      <w:pPr>
        <w:tabs>
          <w:tab w:val="left" w:pos="-142"/>
        </w:tabs>
        <w:jc w:val="both"/>
        <w:rPr>
          <w:lang w:val="uk-UA"/>
        </w:rPr>
      </w:pPr>
    </w:p>
    <w:p w14:paraId="32137582" w14:textId="56E227D5" w:rsidR="003807DB" w:rsidRPr="006B3CDD" w:rsidRDefault="003807DB" w:rsidP="003807DB">
      <w:pPr>
        <w:tabs>
          <w:tab w:val="left" w:pos="-142"/>
        </w:tabs>
        <w:jc w:val="both"/>
        <w:rPr>
          <w:lang w:val="uk-UA"/>
        </w:rPr>
      </w:pPr>
      <w:r w:rsidRPr="006B3CDD">
        <w:rPr>
          <w:lang w:val="uk-UA"/>
        </w:rPr>
        <w:t xml:space="preserve">Перед застосуванням необхідно витримати вакцину до досягнення температури від 15 </w:t>
      </w:r>
      <w:r w:rsidRPr="006B3CDD">
        <w:rPr>
          <w:vertAlign w:val="superscript"/>
          <w:lang w:val="uk-UA"/>
        </w:rPr>
        <w:t>0</w:t>
      </w:r>
      <w:r w:rsidRPr="006B3CDD">
        <w:rPr>
          <w:lang w:val="uk-UA"/>
        </w:rPr>
        <w:t xml:space="preserve">C до 25 </w:t>
      </w:r>
      <w:r w:rsidRPr="006B3CDD">
        <w:rPr>
          <w:vertAlign w:val="superscript"/>
          <w:lang w:val="uk-UA"/>
        </w:rPr>
        <w:t>0</w:t>
      </w:r>
      <w:r w:rsidRPr="006B3CDD">
        <w:rPr>
          <w:lang w:val="uk-UA"/>
        </w:rPr>
        <w:t>C.</w:t>
      </w:r>
      <w:r w:rsidR="009B1FE6" w:rsidRPr="006B3CDD">
        <w:rPr>
          <w:lang w:val="uk-UA"/>
        </w:rPr>
        <w:t xml:space="preserve"> </w:t>
      </w:r>
      <w:r w:rsidR="00C67101" w:rsidRPr="006B3CDD">
        <w:rPr>
          <w:lang w:val="uk-UA"/>
        </w:rPr>
        <w:t>Струсити перед використанням.</w:t>
      </w:r>
      <w:r w:rsidRPr="006B3CDD">
        <w:rPr>
          <w:lang w:val="uk-UA"/>
        </w:rPr>
        <w:t xml:space="preserve"> </w:t>
      </w:r>
    </w:p>
    <w:p w14:paraId="1620CEC7" w14:textId="77777777" w:rsidR="00F22DB4" w:rsidRPr="006B3CDD" w:rsidRDefault="00F22DB4" w:rsidP="00F22DB4">
      <w:pPr>
        <w:jc w:val="both"/>
        <w:rPr>
          <w:b/>
          <w:bCs/>
          <w:szCs w:val="24"/>
          <w:lang w:val="uk-UA"/>
        </w:rPr>
      </w:pPr>
      <w:r w:rsidRPr="006B3CDD">
        <w:rPr>
          <w:b/>
          <w:bCs/>
          <w:szCs w:val="24"/>
          <w:lang w:val="uk-UA"/>
        </w:rPr>
        <w:t>5.6. Застосування під час вагітності, лактації</w:t>
      </w:r>
    </w:p>
    <w:p w14:paraId="03A963DD" w14:textId="20230575" w:rsidR="00F22DB4" w:rsidRPr="006B3CDD" w:rsidRDefault="0012093A" w:rsidP="00F22DB4">
      <w:pPr>
        <w:pStyle w:val="Ttol3"/>
        <w:overflowPunct/>
        <w:autoSpaceDE/>
        <w:autoSpaceDN/>
        <w:adjustRightInd/>
        <w:textAlignment w:val="auto"/>
        <w:rPr>
          <w:b w:val="0"/>
          <w:szCs w:val="24"/>
          <w:lang w:val="uk-UA"/>
        </w:rPr>
      </w:pPr>
      <w:r w:rsidRPr="006B3CDD">
        <w:rPr>
          <w:b w:val="0"/>
          <w:lang w:val="uk-UA"/>
        </w:rPr>
        <w:t xml:space="preserve">Може застосовуватись під час тільності та лактації. </w:t>
      </w:r>
    </w:p>
    <w:p w14:paraId="704F476E" w14:textId="77777777" w:rsidR="00114950" w:rsidRPr="006B3CDD" w:rsidRDefault="00114950" w:rsidP="00114950">
      <w:pPr>
        <w:jc w:val="both"/>
        <w:rPr>
          <w:b/>
          <w:bCs/>
          <w:szCs w:val="24"/>
          <w:lang w:val="uk-UA"/>
        </w:rPr>
      </w:pPr>
      <w:r w:rsidRPr="006B3CDD">
        <w:rPr>
          <w:b/>
          <w:bCs/>
          <w:szCs w:val="24"/>
          <w:lang w:val="uk-UA"/>
        </w:rPr>
        <w:t>5.7. Взаємодія з іншими засобами та інші форми взаємодії</w:t>
      </w:r>
    </w:p>
    <w:p w14:paraId="618C5F41" w14:textId="77777777" w:rsidR="0034789A" w:rsidRPr="006B3CDD" w:rsidRDefault="0034789A" w:rsidP="00114950">
      <w:pPr>
        <w:pStyle w:val="Costext1"/>
        <w:ind w:firstLine="0"/>
        <w:rPr>
          <w:lang w:val="uk-UA"/>
        </w:rPr>
      </w:pPr>
      <w:r w:rsidRPr="006B3CDD">
        <w:rPr>
          <w:lang w:val="uk-UA"/>
        </w:rPr>
        <w:t>Інформація щодо безпеки та ефективності цієї вакцини при одночасному використанні з іншими ветеринарними лікарськими засобами відсутня. Рішення про використання цієї вакцини до або після застосування будь-яких інших ветеринарних лікарських засобів повинно бути прийняте лікарем (фельдшером) ветеринарної медицини.</w:t>
      </w:r>
    </w:p>
    <w:p w14:paraId="0154252F" w14:textId="77777777" w:rsidR="00114950" w:rsidRPr="006B3CDD" w:rsidRDefault="00114950" w:rsidP="00114950">
      <w:pPr>
        <w:jc w:val="both"/>
        <w:rPr>
          <w:b/>
          <w:bCs/>
          <w:szCs w:val="24"/>
          <w:lang w:val="uk-UA"/>
        </w:rPr>
      </w:pPr>
      <w:r w:rsidRPr="006B3CDD">
        <w:rPr>
          <w:b/>
          <w:bCs/>
          <w:szCs w:val="24"/>
          <w:lang w:val="uk-UA"/>
        </w:rPr>
        <w:t>5.8. Дози та способи  введення  тваринам різного віку</w:t>
      </w:r>
    </w:p>
    <w:p w14:paraId="21E0B4EE" w14:textId="77777777" w:rsidR="009B1FE6" w:rsidRPr="006B3CDD" w:rsidRDefault="009F6D6F" w:rsidP="009B1FE6">
      <w:pPr>
        <w:jc w:val="both"/>
        <w:rPr>
          <w:lang w:val="uk-UA"/>
        </w:rPr>
      </w:pPr>
      <w:r w:rsidRPr="006B3CDD">
        <w:rPr>
          <w:lang w:val="uk-UA"/>
        </w:rPr>
        <w:t xml:space="preserve">Внутрішньом'язово, глибоко в м’язи шиї. </w:t>
      </w:r>
      <w:r w:rsidR="009B1FE6" w:rsidRPr="006B3CDD">
        <w:rPr>
          <w:lang w:val="uk-UA"/>
        </w:rPr>
        <w:t>Ін'єкції бажано вводити на альтернативних сторонах шиї.</w:t>
      </w:r>
    </w:p>
    <w:p w14:paraId="18ED3EFD" w14:textId="1DAED6DA" w:rsidR="009F6D6F" w:rsidRPr="006B3CDD" w:rsidRDefault="009F6D6F" w:rsidP="002C6D95">
      <w:pPr>
        <w:jc w:val="both"/>
        <w:rPr>
          <w:lang w:val="uk-UA"/>
        </w:rPr>
      </w:pPr>
      <w:r w:rsidRPr="006B3CDD">
        <w:rPr>
          <w:lang w:val="uk-UA"/>
        </w:rPr>
        <w:t>Повна програма імунізації складається з трьох ін’єкцій:</w:t>
      </w:r>
    </w:p>
    <w:p w14:paraId="4AC0BF23" w14:textId="269804F9" w:rsidR="009F6D6F" w:rsidRPr="006B3CDD" w:rsidRDefault="009F6D6F" w:rsidP="002C6D95">
      <w:pPr>
        <w:jc w:val="both"/>
        <w:rPr>
          <w:lang w:val="uk-UA"/>
        </w:rPr>
      </w:pPr>
      <w:r w:rsidRPr="006B3CDD">
        <w:rPr>
          <w:lang w:val="uk-UA"/>
        </w:rPr>
        <w:t>першу дозу (2 мл) вводять за 45 днів до очікуван</w:t>
      </w:r>
      <w:r w:rsidR="00DD403D">
        <w:rPr>
          <w:lang w:val="ru-RU"/>
        </w:rPr>
        <w:t>ого</w:t>
      </w:r>
      <w:r w:rsidRPr="006B3CDD">
        <w:rPr>
          <w:lang w:val="uk-UA"/>
        </w:rPr>
        <w:t xml:space="preserve"> </w:t>
      </w:r>
      <w:r w:rsidR="00DD403D">
        <w:rPr>
          <w:lang w:val="uk-UA"/>
        </w:rPr>
        <w:t>дня отелу</w:t>
      </w:r>
      <w:r w:rsidRPr="006B3CDD">
        <w:rPr>
          <w:lang w:val="uk-UA"/>
        </w:rPr>
        <w:t>,</w:t>
      </w:r>
    </w:p>
    <w:p w14:paraId="15556E63" w14:textId="31038160" w:rsidR="009F6D6F" w:rsidRPr="006B3CDD" w:rsidRDefault="009F6D6F" w:rsidP="002C6D95">
      <w:pPr>
        <w:jc w:val="both"/>
        <w:rPr>
          <w:lang w:val="uk-UA"/>
        </w:rPr>
      </w:pPr>
      <w:r w:rsidRPr="006B3CDD">
        <w:rPr>
          <w:lang w:val="uk-UA"/>
        </w:rPr>
        <w:t>другу дозу (2 мл) вводять через 1 міс після першої (принаймні за 10 днів до отел</w:t>
      </w:r>
      <w:r w:rsidR="00DD403D">
        <w:rPr>
          <w:lang w:val="uk-UA"/>
        </w:rPr>
        <w:t>у</w:t>
      </w:r>
      <w:r w:rsidRPr="006B3CDD">
        <w:rPr>
          <w:lang w:val="uk-UA"/>
        </w:rPr>
        <w:t>),</w:t>
      </w:r>
    </w:p>
    <w:p w14:paraId="280F3322" w14:textId="5EFCECBF" w:rsidR="009F6D6F" w:rsidRPr="006B3CDD" w:rsidRDefault="009F6D6F" w:rsidP="002C6D95">
      <w:pPr>
        <w:jc w:val="both"/>
        <w:rPr>
          <w:lang w:val="uk-UA"/>
        </w:rPr>
      </w:pPr>
      <w:r w:rsidRPr="006B3CDD">
        <w:rPr>
          <w:lang w:val="uk-UA"/>
        </w:rPr>
        <w:t>третю дозу (2 мл) вводять через 2 міс після другої.</w:t>
      </w:r>
    </w:p>
    <w:p w14:paraId="0ADB120F" w14:textId="0A702863" w:rsidR="009F6D6F" w:rsidRPr="006B3CDD" w:rsidRDefault="009F6D6F" w:rsidP="002C6D95">
      <w:pPr>
        <w:jc w:val="both"/>
        <w:rPr>
          <w:szCs w:val="24"/>
          <w:u w:val="single"/>
          <w:lang w:val="uk-UA"/>
        </w:rPr>
      </w:pPr>
      <w:r w:rsidRPr="006B3CDD">
        <w:rPr>
          <w:lang w:val="uk-UA"/>
        </w:rPr>
        <w:t>Повна програма імунізації повинна повторюватися з кожним циклом тільності.</w:t>
      </w:r>
    </w:p>
    <w:p w14:paraId="0D0E9C97" w14:textId="6DFAAE6C" w:rsidR="00C6609C" w:rsidRPr="006B3CDD" w:rsidRDefault="00C6609C" w:rsidP="00C6609C">
      <w:pPr>
        <w:tabs>
          <w:tab w:val="right" w:leader="dot" w:pos="8222"/>
        </w:tabs>
        <w:jc w:val="both"/>
        <w:rPr>
          <w:b/>
          <w:szCs w:val="24"/>
          <w:lang w:val="uk-UA"/>
        </w:rPr>
      </w:pPr>
      <w:r w:rsidRPr="006B3CDD">
        <w:rPr>
          <w:b/>
          <w:szCs w:val="24"/>
          <w:lang w:val="uk-UA"/>
        </w:rPr>
        <w:t>5.9. Передозування (симптоми, невідкладні заходи, антидоти)</w:t>
      </w:r>
    </w:p>
    <w:p w14:paraId="4C1BB1DD" w14:textId="77777777" w:rsidR="009807ED" w:rsidRPr="006B3CDD" w:rsidRDefault="009807ED" w:rsidP="00E37060">
      <w:pPr>
        <w:jc w:val="both"/>
        <w:rPr>
          <w:lang w:val="uk-UA"/>
        </w:rPr>
      </w:pPr>
      <w:r w:rsidRPr="006B3CDD">
        <w:rPr>
          <w:lang w:val="uk-UA"/>
        </w:rPr>
        <w:t>Ніяких побічних реакцій, крім зазначених у розділі 5.4., не спостерігалося після введення подвійної дози вакцини.</w:t>
      </w:r>
    </w:p>
    <w:p w14:paraId="2308AEAF" w14:textId="77777777" w:rsidR="00B155DF" w:rsidRPr="006B3CDD" w:rsidRDefault="00B155DF" w:rsidP="00B155DF">
      <w:pPr>
        <w:jc w:val="both"/>
        <w:rPr>
          <w:b/>
          <w:bCs/>
          <w:szCs w:val="24"/>
          <w:lang w:val="uk-UA"/>
        </w:rPr>
      </w:pPr>
      <w:r w:rsidRPr="006B3CDD">
        <w:rPr>
          <w:b/>
          <w:bCs/>
          <w:szCs w:val="24"/>
          <w:lang w:val="uk-UA"/>
        </w:rPr>
        <w:t>5.10. Спеціальні застереження</w:t>
      </w:r>
    </w:p>
    <w:p w14:paraId="10290D58" w14:textId="77777777" w:rsidR="009807ED" w:rsidRPr="006B3CDD" w:rsidRDefault="009807ED" w:rsidP="005D4D68">
      <w:pPr>
        <w:jc w:val="both"/>
        <w:rPr>
          <w:lang w:val="uk-UA"/>
        </w:rPr>
      </w:pPr>
      <w:r w:rsidRPr="006B3CDD">
        <w:rPr>
          <w:lang w:val="uk-UA"/>
        </w:rPr>
        <w:t>Вакцинують лише здорових тварин.</w:t>
      </w:r>
    </w:p>
    <w:p w14:paraId="7C34550E" w14:textId="77777777" w:rsidR="00B155DF" w:rsidRPr="006B3CDD" w:rsidRDefault="00B155DF" w:rsidP="00B155DF">
      <w:pPr>
        <w:tabs>
          <w:tab w:val="right" w:leader="dot" w:pos="8222"/>
        </w:tabs>
        <w:jc w:val="both"/>
        <w:rPr>
          <w:b/>
          <w:szCs w:val="24"/>
          <w:lang w:val="uk-UA"/>
        </w:rPr>
      </w:pPr>
      <w:r w:rsidRPr="006B3CDD">
        <w:rPr>
          <w:b/>
          <w:szCs w:val="24"/>
          <w:lang w:val="uk-UA"/>
        </w:rPr>
        <w:t>5.11. Період виведення (каренції)</w:t>
      </w:r>
    </w:p>
    <w:p w14:paraId="2E7E8E32" w14:textId="77777777" w:rsidR="00022765" w:rsidRPr="006B3CDD" w:rsidRDefault="00022765" w:rsidP="00E57FE5">
      <w:pPr>
        <w:rPr>
          <w:lang w:val="uk-UA"/>
        </w:rPr>
      </w:pPr>
      <w:r w:rsidRPr="006B3CDD">
        <w:rPr>
          <w:lang w:val="uk-UA"/>
        </w:rPr>
        <w:t>Нуль діб.</w:t>
      </w:r>
    </w:p>
    <w:p w14:paraId="3E8C6CF1" w14:textId="77777777" w:rsidR="00B155DF" w:rsidRPr="006B3CDD" w:rsidRDefault="00B155DF" w:rsidP="00B155DF">
      <w:pPr>
        <w:tabs>
          <w:tab w:val="right" w:leader="dot" w:pos="8222"/>
        </w:tabs>
        <w:jc w:val="both"/>
        <w:rPr>
          <w:b/>
          <w:szCs w:val="24"/>
          <w:lang w:val="uk-UA"/>
        </w:rPr>
      </w:pPr>
      <w:r w:rsidRPr="006B3CDD">
        <w:rPr>
          <w:b/>
          <w:szCs w:val="24"/>
          <w:lang w:val="uk-UA"/>
        </w:rPr>
        <w:t>5.12. Спеціальні застереження для осіб і обслуговуючого персоналу, котрі вводять засоби захисту тваринам</w:t>
      </w:r>
    </w:p>
    <w:p w14:paraId="2D4CD595" w14:textId="77777777" w:rsidR="00936B63" w:rsidRPr="006B3CDD" w:rsidRDefault="00022765" w:rsidP="00C36660">
      <w:pPr>
        <w:pStyle w:val="BodyText2"/>
        <w:jc w:val="both"/>
        <w:rPr>
          <w:b w:val="0"/>
          <w:sz w:val="24"/>
          <w:szCs w:val="24"/>
          <w:u w:val="none"/>
          <w:lang w:val="uk-UA"/>
        </w:rPr>
      </w:pPr>
      <w:r w:rsidRPr="006B3CDD">
        <w:rPr>
          <w:b w:val="0"/>
          <w:sz w:val="24"/>
          <w:szCs w:val="24"/>
          <w:u w:val="none"/>
          <w:lang w:val="uk-UA"/>
        </w:rPr>
        <w:t>Необхідно дотримуватись правил асептики, особистої гігієни та техніки без</w:t>
      </w:r>
      <w:r w:rsidR="00936B63" w:rsidRPr="006B3CDD">
        <w:rPr>
          <w:b w:val="0"/>
          <w:sz w:val="24"/>
          <w:szCs w:val="24"/>
          <w:u w:val="none"/>
          <w:lang w:val="uk-UA"/>
        </w:rPr>
        <w:t>пеки при проведенні вакцинації.</w:t>
      </w:r>
    </w:p>
    <w:p w14:paraId="54985D5E" w14:textId="0B934F10" w:rsidR="00022765" w:rsidRPr="006B3CDD" w:rsidRDefault="00022765" w:rsidP="00C36660">
      <w:pPr>
        <w:pStyle w:val="BodyText2"/>
        <w:jc w:val="both"/>
        <w:rPr>
          <w:b w:val="0"/>
          <w:sz w:val="24"/>
          <w:szCs w:val="24"/>
          <w:u w:val="none"/>
          <w:lang w:val="uk-UA"/>
        </w:rPr>
      </w:pPr>
      <w:r w:rsidRPr="006B3CDD">
        <w:rPr>
          <w:b w:val="0"/>
          <w:sz w:val="24"/>
          <w:szCs w:val="24"/>
          <w:u w:val="none"/>
          <w:lang w:val="uk-UA"/>
        </w:rPr>
        <w:t>Препарат містить компонент на основі мінеральної олії. Це може викликати сильний біль та запалення при випадковому самоін’єктуванні. Негайно прочистіть та продезінфікуйте рану, зверніться до лікаря та покажіть йому цю листівку-вкладку.</w:t>
      </w:r>
    </w:p>
    <w:p w14:paraId="19AC761C" w14:textId="77777777" w:rsidR="00AB2F91" w:rsidRPr="006B3CDD" w:rsidRDefault="00AB2F91" w:rsidP="00AB2F91">
      <w:pPr>
        <w:jc w:val="both"/>
        <w:rPr>
          <w:b/>
          <w:szCs w:val="24"/>
          <w:lang w:val="uk-UA"/>
        </w:rPr>
      </w:pPr>
      <w:r w:rsidRPr="006B3CDD">
        <w:rPr>
          <w:b/>
          <w:szCs w:val="24"/>
          <w:lang w:val="uk-UA"/>
        </w:rPr>
        <w:t>6. Фармацевтичні особливості</w:t>
      </w:r>
    </w:p>
    <w:p w14:paraId="083BD662" w14:textId="77777777" w:rsidR="00AB2F91" w:rsidRPr="006B3CDD" w:rsidRDefault="00AB2F91" w:rsidP="00AB2F91">
      <w:pPr>
        <w:tabs>
          <w:tab w:val="right" w:leader="dot" w:pos="8222"/>
        </w:tabs>
        <w:jc w:val="both"/>
        <w:rPr>
          <w:b/>
          <w:szCs w:val="24"/>
          <w:lang w:val="uk-UA"/>
        </w:rPr>
      </w:pPr>
      <w:r w:rsidRPr="006B3CDD">
        <w:rPr>
          <w:b/>
          <w:szCs w:val="24"/>
          <w:lang w:val="uk-UA"/>
        </w:rPr>
        <w:t>6.1. Основні форми несумісності</w:t>
      </w:r>
    </w:p>
    <w:p w14:paraId="7A9C28A4" w14:textId="74AB95ED" w:rsidR="00096459" w:rsidRPr="006B3CDD" w:rsidRDefault="002E18DD" w:rsidP="005D4D68">
      <w:pPr>
        <w:jc w:val="both"/>
        <w:rPr>
          <w:szCs w:val="24"/>
          <w:lang w:val="uk-UA"/>
        </w:rPr>
      </w:pPr>
      <w:r w:rsidRPr="006B3CDD">
        <w:rPr>
          <w:szCs w:val="24"/>
          <w:lang w:val="uk-UA"/>
        </w:rPr>
        <w:t>Не змішувати з будь-якою іншою вакциною або імунологічним препаратом</w:t>
      </w:r>
      <w:r w:rsidR="00096459" w:rsidRPr="006B3CDD">
        <w:rPr>
          <w:szCs w:val="24"/>
          <w:lang w:val="uk-UA"/>
        </w:rPr>
        <w:t>.</w:t>
      </w:r>
    </w:p>
    <w:p w14:paraId="53D020E0" w14:textId="77777777" w:rsidR="006C4F64" w:rsidRPr="006B3CDD" w:rsidRDefault="006C4F64" w:rsidP="006C4F64">
      <w:pPr>
        <w:tabs>
          <w:tab w:val="right" w:leader="dot" w:pos="8222"/>
        </w:tabs>
        <w:jc w:val="both"/>
        <w:rPr>
          <w:b/>
          <w:szCs w:val="24"/>
          <w:lang w:val="uk-UA"/>
        </w:rPr>
      </w:pPr>
      <w:r w:rsidRPr="006B3CDD">
        <w:rPr>
          <w:b/>
          <w:szCs w:val="24"/>
          <w:lang w:val="uk-UA"/>
        </w:rPr>
        <w:t>6.2. Термін придатності</w:t>
      </w:r>
    </w:p>
    <w:p w14:paraId="7659520E" w14:textId="08E2A527" w:rsidR="008F632A" w:rsidRPr="006B3CDD" w:rsidRDefault="008F632A" w:rsidP="000354C8">
      <w:pPr>
        <w:jc w:val="both"/>
        <w:rPr>
          <w:lang w:val="uk-UA"/>
        </w:rPr>
      </w:pPr>
      <w:r w:rsidRPr="006B3CDD">
        <w:rPr>
          <w:lang w:val="uk-UA"/>
        </w:rPr>
        <w:t xml:space="preserve">Термін придатності: </w:t>
      </w:r>
      <w:r w:rsidR="003807DB" w:rsidRPr="006B3CDD">
        <w:rPr>
          <w:lang w:val="uk-UA"/>
        </w:rPr>
        <w:t>18</w:t>
      </w:r>
      <w:r w:rsidRPr="006B3CDD">
        <w:rPr>
          <w:lang w:val="uk-UA"/>
        </w:rPr>
        <w:t xml:space="preserve"> міс з дати виготовлення.</w:t>
      </w:r>
    </w:p>
    <w:p w14:paraId="61EFADEA" w14:textId="627BB4CF" w:rsidR="002E18DD" w:rsidRPr="006B3CDD" w:rsidRDefault="008F632A" w:rsidP="000354C8">
      <w:pPr>
        <w:jc w:val="both"/>
        <w:rPr>
          <w:szCs w:val="24"/>
          <w:lang w:val="uk-UA"/>
        </w:rPr>
      </w:pPr>
      <w:r w:rsidRPr="006B3CDD">
        <w:rPr>
          <w:lang w:val="uk-UA"/>
        </w:rPr>
        <w:t>Термін придатності після першого відкриття: 10 год за умови зберігання за температури від 15 </w:t>
      </w:r>
      <w:r w:rsidRPr="006B3CDD">
        <w:rPr>
          <w:vertAlign w:val="superscript"/>
          <w:lang w:val="uk-UA"/>
        </w:rPr>
        <w:t>0</w:t>
      </w:r>
      <w:r w:rsidRPr="006B3CDD">
        <w:rPr>
          <w:lang w:val="uk-UA"/>
        </w:rPr>
        <w:t>C до 25 </w:t>
      </w:r>
      <w:r w:rsidRPr="006B3CDD">
        <w:rPr>
          <w:vertAlign w:val="superscript"/>
          <w:lang w:val="uk-UA"/>
        </w:rPr>
        <w:t>0</w:t>
      </w:r>
      <w:r w:rsidRPr="006B3CDD">
        <w:rPr>
          <w:lang w:val="uk-UA"/>
        </w:rPr>
        <w:t>C</w:t>
      </w:r>
      <w:r w:rsidR="002E18DD" w:rsidRPr="006B3CDD">
        <w:rPr>
          <w:szCs w:val="24"/>
          <w:lang w:val="uk-UA"/>
        </w:rPr>
        <w:t>.</w:t>
      </w:r>
    </w:p>
    <w:p w14:paraId="35AC0558" w14:textId="77777777" w:rsidR="006C4F64" w:rsidRPr="006B3CDD" w:rsidRDefault="006C4F64" w:rsidP="006C4F64">
      <w:pPr>
        <w:jc w:val="both"/>
        <w:rPr>
          <w:b/>
          <w:szCs w:val="24"/>
          <w:lang w:val="uk-UA"/>
        </w:rPr>
      </w:pPr>
      <w:r w:rsidRPr="006B3CDD">
        <w:rPr>
          <w:b/>
          <w:szCs w:val="24"/>
          <w:lang w:val="uk-UA"/>
        </w:rPr>
        <w:t>6.3. Особливі застереження щодо зберігання</w:t>
      </w:r>
    </w:p>
    <w:p w14:paraId="0E4DBE64" w14:textId="3B0FBC4E" w:rsidR="002E18DD" w:rsidRPr="006B3CDD" w:rsidRDefault="002E18DD" w:rsidP="00C36660">
      <w:pPr>
        <w:jc w:val="both"/>
        <w:rPr>
          <w:lang w:val="uk-UA"/>
        </w:rPr>
      </w:pPr>
      <w:r w:rsidRPr="006B3CDD">
        <w:rPr>
          <w:lang w:val="uk-UA"/>
        </w:rPr>
        <w:t xml:space="preserve">Зберігати та транспортувати в </w:t>
      </w:r>
      <w:r w:rsidR="00D931F2" w:rsidRPr="006B3CDD">
        <w:rPr>
          <w:lang w:val="uk-UA"/>
        </w:rPr>
        <w:t>темному та прохолодному місці</w:t>
      </w:r>
      <w:r w:rsidRPr="006B3CDD">
        <w:rPr>
          <w:lang w:val="uk-UA"/>
        </w:rPr>
        <w:t xml:space="preserve"> за температури від 2</w:t>
      </w:r>
      <w:r w:rsidR="00F05E3F" w:rsidRPr="006B3CDD">
        <w:rPr>
          <w:lang w:val="uk-UA"/>
        </w:rPr>
        <w:t> </w:t>
      </w:r>
      <w:r w:rsidRPr="006B3CDD">
        <w:rPr>
          <w:vertAlign w:val="superscript"/>
          <w:lang w:val="uk-UA"/>
        </w:rPr>
        <w:t>0</w:t>
      </w:r>
      <w:r w:rsidRPr="006B3CDD">
        <w:rPr>
          <w:lang w:val="uk-UA"/>
        </w:rPr>
        <w:t>С до 8</w:t>
      </w:r>
      <w:r w:rsidR="00F05E3F" w:rsidRPr="006B3CDD">
        <w:rPr>
          <w:lang w:val="uk-UA"/>
        </w:rPr>
        <w:t> </w:t>
      </w:r>
      <w:r w:rsidRPr="006B3CDD">
        <w:rPr>
          <w:vertAlign w:val="superscript"/>
          <w:lang w:val="uk-UA"/>
        </w:rPr>
        <w:t>0</w:t>
      </w:r>
      <w:r w:rsidRPr="006B3CDD">
        <w:rPr>
          <w:lang w:val="uk-UA"/>
        </w:rPr>
        <w:t>С.</w:t>
      </w:r>
      <w:r w:rsidR="00266FBB" w:rsidRPr="006B3CDD">
        <w:rPr>
          <w:lang w:val="uk-UA"/>
        </w:rPr>
        <w:t xml:space="preserve"> </w:t>
      </w:r>
      <w:r w:rsidRPr="006B3CDD">
        <w:rPr>
          <w:lang w:val="uk-UA"/>
        </w:rPr>
        <w:t>Зберігати у місцях, недоступних для дітей.</w:t>
      </w:r>
      <w:r w:rsidR="00266FBB" w:rsidRPr="006B3CDD">
        <w:rPr>
          <w:lang w:val="uk-UA"/>
        </w:rPr>
        <w:t xml:space="preserve"> </w:t>
      </w:r>
      <w:r w:rsidRPr="006B3CDD">
        <w:rPr>
          <w:lang w:val="uk-UA"/>
        </w:rPr>
        <w:t xml:space="preserve">Не заморожувати. </w:t>
      </w:r>
    </w:p>
    <w:p w14:paraId="2B73BA04" w14:textId="77777777" w:rsidR="006C4F64" w:rsidRPr="006B3CDD" w:rsidRDefault="006C4F64" w:rsidP="006C4F64">
      <w:pPr>
        <w:tabs>
          <w:tab w:val="right" w:leader="dot" w:pos="8222"/>
        </w:tabs>
        <w:jc w:val="both"/>
        <w:rPr>
          <w:b/>
          <w:szCs w:val="24"/>
          <w:lang w:val="uk-UA"/>
        </w:rPr>
      </w:pPr>
      <w:r w:rsidRPr="006B3CDD">
        <w:rPr>
          <w:b/>
          <w:szCs w:val="24"/>
          <w:lang w:val="uk-UA"/>
        </w:rPr>
        <w:t>6.4. Природа і склад контейнера первинного пакування</w:t>
      </w:r>
    </w:p>
    <w:p w14:paraId="0CEC7271" w14:textId="2E7DC4E5" w:rsidR="00266FBB" w:rsidRPr="006B3CDD" w:rsidRDefault="00266FBB" w:rsidP="005D4D68">
      <w:pPr>
        <w:jc w:val="both"/>
        <w:rPr>
          <w:lang w:val="uk-UA"/>
        </w:rPr>
      </w:pPr>
      <w:r w:rsidRPr="006B3CDD">
        <w:rPr>
          <w:lang w:val="uk-UA"/>
        </w:rPr>
        <w:t>Скляний або пластиковий флакон об’ємом 3 мл, 10 мл, 50 мл або 250 мл, закритий гумовою пробкою</w:t>
      </w:r>
      <w:r w:rsidR="006B7D2D">
        <w:rPr>
          <w:lang w:val="es-ES"/>
        </w:rPr>
        <w:t>.</w:t>
      </w:r>
    </w:p>
    <w:p w14:paraId="036C15F3" w14:textId="77777777" w:rsidR="00D757F8" w:rsidRPr="006B3CDD" w:rsidRDefault="00D757F8" w:rsidP="00266FBB">
      <w:pPr>
        <w:tabs>
          <w:tab w:val="left" w:pos="6521"/>
        </w:tabs>
        <w:ind w:left="6237"/>
        <w:rPr>
          <w:szCs w:val="24"/>
          <w:lang w:val="uk-UA"/>
        </w:rPr>
      </w:pPr>
    </w:p>
    <w:p w14:paraId="6B84C819" w14:textId="77777777" w:rsidR="00D757F8" w:rsidRPr="006B3CDD" w:rsidRDefault="00D757F8" w:rsidP="00266FBB">
      <w:pPr>
        <w:tabs>
          <w:tab w:val="left" w:pos="6521"/>
        </w:tabs>
        <w:ind w:left="6237"/>
        <w:rPr>
          <w:szCs w:val="24"/>
          <w:lang w:val="uk-UA"/>
        </w:rPr>
      </w:pPr>
    </w:p>
    <w:p w14:paraId="5336A10E" w14:textId="77777777" w:rsidR="00AB0FE8" w:rsidRPr="006B3CDD" w:rsidRDefault="00AB0FE8" w:rsidP="00266FBB">
      <w:pPr>
        <w:tabs>
          <w:tab w:val="left" w:pos="6521"/>
        </w:tabs>
        <w:ind w:left="6237"/>
        <w:rPr>
          <w:szCs w:val="24"/>
          <w:lang w:val="uk-UA"/>
        </w:rPr>
      </w:pPr>
    </w:p>
    <w:p w14:paraId="57E7419D" w14:textId="59815F6C" w:rsidR="00266FBB" w:rsidRPr="006B3CDD" w:rsidRDefault="00266FBB" w:rsidP="00266FBB">
      <w:pPr>
        <w:tabs>
          <w:tab w:val="left" w:pos="6521"/>
        </w:tabs>
        <w:ind w:left="6237"/>
        <w:rPr>
          <w:szCs w:val="24"/>
          <w:lang w:val="uk-UA"/>
        </w:rPr>
      </w:pPr>
      <w:r w:rsidRPr="006B3CDD">
        <w:rPr>
          <w:szCs w:val="24"/>
          <w:lang w:val="uk-UA"/>
        </w:rPr>
        <w:t>Продовження додатку 1</w:t>
      </w:r>
    </w:p>
    <w:p w14:paraId="5DCCF6C1" w14:textId="77777777" w:rsidR="00266FBB" w:rsidRPr="006B3CDD" w:rsidRDefault="00266FBB" w:rsidP="00266FBB">
      <w:pPr>
        <w:tabs>
          <w:tab w:val="left" w:pos="6521"/>
        </w:tabs>
        <w:ind w:left="6237"/>
        <w:rPr>
          <w:szCs w:val="24"/>
          <w:lang w:val="uk-UA"/>
        </w:rPr>
      </w:pPr>
      <w:r w:rsidRPr="006B3CDD">
        <w:rPr>
          <w:szCs w:val="24"/>
          <w:lang w:val="uk-UA"/>
        </w:rPr>
        <w:t>до реєстраційного посвідчення</w:t>
      </w:r>
    </w:p>
    <w:p w14:paraId="1B233856" w14:textId="77777777" w:rsidR="00266FBB" w:rsidRPr="006B3CDD" w:rsidRDefault="00266FBB" w:rsidP="00266FBB">
      <w:pPr>
        <w:tabs>
          <w:tab w:val="left" w:pos="6521"/>
        </w:tabs>
        <w:ind w:left="6237"/>
        <w:rPr>
          <w:szCs w:val="24"/>
          <w:lang w:val="uk-UA"/>
        </w:rPr>
      </w:pPr>
      <w:r w:rsidRPr="006B3CDD">
        <w:rPr>
          <w:szCs w:val="24"/>
          <w:lang w:val="uk-UA"/>
        </w:rPr>
        <w:lastRenderedPageBreak/>
        <w:t xml:space="preserve">№ </w:t>
      </w:r>
    </w:p>
    <w:p w14:paraId="3134F623" w14:textId="77777777" w:rsidR="00266FBB" w:rsidRPr="006B3CDD" w:rsidRDefault="00266FBB" w:rsidP="00266FBB">
      <w:pPr>
        <w:tabs>
          <w:tab w:val="left" w:pos="6521"/>
        </w:tabs>
        <w:ind w:left="6237"/>
        <w:rPr>
          <w:lang w:val="uk-UA"/>
        </w:rPr>
      </w:pPr>
      <w:r w:rsidRPr="006B3CDD">
        <w:rPr>
          <w:szCs w:val="24"/>
          <w:lang w:val="uk-UA"/>
        </w:rPr>
        <w:t xml:space="preserve">від </w:t>
      </w:r>
    </w:p>
    <w:p w14:paraId="6524C684" w14:textId="77777777" w:rsidR="00266FBB" w:rsidRPr="006B3CDD" w:rsidRDefault="00266FBB" w:rsidP="005D4D68">
      <w:pPr>
        <w:jc w:val="both"/>
        <w:rPr>
          <w:lang w:val="uk-UA"/>
        </w:rPr>
      </w:pPr>
    </w:p>
    <w:p w14:paraId="5FFD50F4" w14:textId="77777777" w:rsidR="00D757F8" w:rsidRPr="006B3CDD" w:rsidRDefault="00D757F8" w:rsidP="00D757F8">
      <w:pPr>
        <w:jc w:val="both"/>
        <w:rPr>
          <w:lang w:val="uk-UA"/>
        </w:rPr>
      </w:pPr>
      <w:r w:rsidRPr="006B3CDD">
        <w:rPr>
          <w:u w:val="single"/>
          <w:lang w:val="uk-UA"/>
        </w:rPr>
        <w:t>Розміри пакування:</w:t>
      </w:r>
    </w:p>
    <w:p w14:paraId="141793CF" w14:textId="77777777" w:rsidR="00D757F8" w:rsidRPr="006B3CDD" w:rsidRDefault="00D757F8" w:rsidP="00D757F8">
      <w:pPr>
        <w:jc w:val="both"/>
        <w:rPr>
          <w:lang w:val="uk-UA"/>
        </w:rPr>
      </w:pPr>
      <w:r w:rsidRPr="006B3CDD">
        <w:rPr>
          <w:lang w:val="uk-UA"/>
        </w:rPr>
        <w:t>- картонна коробка, що містить 1, 10 або 20 флаконів по 1 дозі;</w:t>
      </w:r>
    </w:p>
    <w:p w14:paraId="678E26A4" w14:textId="77777777" w:rsidR="00D757F8" w:rsidRPr="006B3CDD" w:rsidRDefault="00D757F8" w:rsidP="00D757F8">
      <w:pPr>
        <w:jc w:val="both"/>
        <w:rPr>
          <w:lang w:val="uk-UA"/>
        </w:rPr>
      </w:pPr>
      <w:r w:rsidRPr="006B3CDD">
        <w:rPr>
          <w:lang w:val="uk-UA"/>
        </w:rPr>
        <w:t>- картонна коробка, що містить 1 або 10 флаконів по 5 доз;</w:t>
      </w:r>
    </w:p>
    <w:p w14:paraId="536D557E" w14:textId="77777777" w:rsidR="00D757F8" w:rsidRPr="006B3CDD" w:rsidRDefault="00D757F8" w:rsidP="00D757F8">
      <w:pPr>
        <w:jc w:val="both"/>
        <w:rPr>
          <w:lang w:val="uk-UA"/>
        </w:rPr>
      </w:pPr>
      <w:r w:rsidRPr="006B3CDD">
        <w:rPr>
          <w:lang w:val="uk-UA"/>
        </w:rPr>
        <w:t>- картонна коробка, що містить 1 або 10 флаконів по 25 доз;</w:t>
      </w:r>
    </w:p>
    <w:p w14:paraId="2D570876" w14:textId="57D36DB6" w:rsidR="00266FBB" w:rsidRPr="006B3CDD" w:rsidRDefault="00266FBB" w:rsidP="005D4D68">
      <w:pPr>
        <w:jc w:val="both"/>
        <w:rPr>
          <w:lang w:val="uk-UA"/>
        </w:rPr>
      </w:pPr>
      <w:r w:rsidRPr="006B3CDD">
        <w:rPr>
          <w:lang w:val="uk-UA"/>
        </w:rPr>
        <w:t>- картонна коробка, що містить 1 флакон на 125 доз.</w:t>
      </w:r>
    </w:p>
    <w:p w14:paraId="4615C84D" w14:textId="5F5DD23B" w:rsidR="00266FBB" w:rsidRPr="006B3CDD" w:rsidRDefault="00266FBB" w:rsidP="005D4D68">
      <w:pPr>
        <w:jc w:val="both"/>
        <w:rPr>
          <w:szCs w:val="24"/>
          <w:lang w:val="uk-UA"/>
        </w:rPr>
      </w:pPr>
      <w:r w:rsidRPr="006B3CDD">
        <w:rPr>
          <w:lang w:val="uk-UA"/>
        </w:rPr>
        <w:t>Не всі види пакування можуть надходити до продажу.</w:t>
      </w:r>
    </w:p>
    <w:p w14:paraId="57158A79" w14:textId="77777777" w:rsidR="005E5E98" w:rsidRPr="006B3CDD" w:rsidRDefault="005E5E98" w:rsidP="005E5E98">
      <w:pPr>
        <w:rPr>
          <w:b/>
          <w:lang w:val="uk-UA"/>
        </w:rPr>
      </w:pPr>
      <w:r w:rsidRPr="006B3CDD">
        <w:rPr>
          <w:b/>
          <w:lang w:val="uk-UA"/>
        </w:rPr>
        <w:t>6.5. Назва та місцезнаходження власника реєстраційного посвідчення і виробника</w:t>
      </w:r>
    </w:p>
    <w:p w14:paraId="750139E4" w14:textId="0A9C4967" w:rsidR="00266FBB" w:rsidRPr="006B3CDD" w:rsidRDefault="00266FBB" w:rsidP="005A0190">
      <w:pPr>
        <w:rPr>
          <w:noProof/>
          <w:szCs w:val="24"/>
          <w:lang w:val="uk-UA"/>
        </w:rPr>
      </w:pPr>
      <w:r w:rsidRPr="006B3CDD">
        <w:rPr>
          <w:noProof/>
          <w:szCs w:val="24"/>
          <w:lang w:val="uk-UA"/>
        </w:rPr>
        <w:t>Лабораторіос Хіпра, С.А.</w:t>
      </w:r>
    </w:p>
    <w:p w14:paraId="52531167" w14:textId="468F30CF" w:rsidR="002E5865" w:rsidRPr="006B3CDD" w:rsidRDefault="00266FBB" w:rsidP="005A0190">
      <w:pPr>
        <w:rPr>
          <w:color w:val="000000"/>
          <w:szCs w:val="24"/>
          <w:lang w:val="uk-UA"/>
        </w:rPr>
      </w:pPr>
      <w:r w:rsidRPr="006B3CDD">
        <w:rPr>
          <w:color w:val="000000"/>
          <w:szCs w:val="24"/>
          <w:lang w:val="uk-UA"/>
        </w:rPr>
        <w:t>Авда. ла Селва, 135</w:t>
      </w:r>
    </w:p>
    <w:p w14:paraId="61BC52AE" w14:textId="57BC7E84" w:rsidR="005A0190" w:rsidRPr="006B3CDD" w:rsidRDefault="00266FBB" w:rsidP="005A0190">
      <w:pPr>
        <w:rPr>
          <w:color w:val="000000"/>
          <w:szCs w:val="24"/>
          <w:lang w:val="uk-UA"/>
        </w:rPr>
      </w:pPr>
      <w:r w:rsidRPr="006B3CDD">
        <w:rPr>
          <w:color w:val="000000"/>
          <w:szCs w:val="24"/>
          <w:lang w:val="uk-UA"/>
        </w:rPr>
        <w:t>17170 Амер (Жирона)</w:t>
      </w:r>
      <w:r w:rsidR="0095002C" w:rsidRPr="006B3CDD">
        <w:rPr>
          <w:color w:val="000000"/>
          <w:szCs w:val="24"/>
          <w:lang w:val="uk-UA"/>
        </w:rPr>
        <w:t>,</w:t>
      </w:r>
      <w:r w:rsidRPr="006B3CDD">
        <w:rPr>
          <w:color w:val="000000"/>
          <w:szCs w:val="24"/>
          <w:lang w:val="uk-UA"/>
        </w:rPr>
        <w:t xml:space="preserve"> Іспанія</w:t>
      </w:r>
    </w:p>
    <w:p w14:paraId="6FDC2BA0" w14:textId="3ADBE17C" w:rsidR="002E5865" w:rsidRPr="006B3CDD" w:rsidRDefault="00266FBB" w:rsidP="005A0190">
      <w:pPr>
        <w:rPr>
          <w:lang w:val="uk-UA"/>
        </w:rPr>
      </w:pPr>
      <w:r w:rsidRPr="006B3CDD">
        <w:rPr>
          <w:lang w:val="uk-UA"/>
        </w:rPr>
        <w:t>Т</w:t>
      </w:r>
      <w:r w:rsidR="005A0190" w:rsidRPr="006B3CDD">
        <w:rPr>
          <w:lang w:val="uk-UA"/>
        </w:rPr>
        <w:t>ел. +34 972 430660</w:t>
      </w:r>
      <w:r w:rsidR="002E5865" w:rsidRPr="006B3CDD">
        <w:rPr>
          <w:lang w:val="uk-UA"/>
        </w:rPr>
        <w:t>;</w:t>
      </w:r>
      <w:r w:rsidR="005932E1" w:rsidRPr="006B3CDD">
        <w:rPr>
          <w:lang w:val="uk-UA"/>
        </w:rPr>
        <w:t xml:space="preserve"> </w:t>
      </w:r>
      <w:r w:rsidRPr="006B3CDD">
        <w:rPr>
          <w:lang w:val="uk-UA"/>
        </w:rPr>
        <w:t>Ф</w:t>
      </w:r>
      <w:r w:rsidR="005A0190" w:rsidRPr="006B3CDD">
        <w:rPr>
          <w:lang w:val="uk-UA"/>
        </w:rPr>
        <w:t>акс. +34 972 430661</w:t>
      </w:r>
    </w:p>
    <w:p w14:paraId="1088B89C" w14:textId="075C0298" w:rsidR="005A0190" w:rsidRPr="006B3CDD" w:rsidRDefault="005A0190" w:rsidP="005A0190">
      <w:pPr>
        <w:rPr>
          <w:rStyle w:val="Hyperlink"/>
          <w:szCs w:val="24"/>
          <w:lang w:val="uk-UA"/>
        </w:rPr>
      </w:pPr>
      <w:r w:rsidRPr="006B3CDD">
        <w:rPr>
          <w:szCs w:val="24"/>
          <w:lang w:val="uk-UA"/>
        </w:rPr>
        <w:t xml:space="preserve">E-mail: </w:t>
      </w:r>
      <w:hyperlink r:id="rId11" w:history="1">
        <w:r w:rsidRPr="006B3CDD">
          <w:rPr>
            <w:rStyle w:val="Hyperlink"/>
            <w:szCs w:val="24"/>
            <w:lang w:val="uk-UA"/>
          </w:rPr>
          <w:t>hipra@hipra.com</w:t>
        </w:r>
      </w:hyperlink>
    </w:p>
    <w:p w14:paraId="681F0313" w14:textId="77777777" w:rsidR="00205CD2" w:rsidRPr="006B3CDD" w:rsidRDefault="00205CD2" w:rsidP="00205CD2">
      <w:pPr>
        <w:rPr>
          <w:b/>
          <w:bCs/>
          <w:lang w:val="uk-UA"/>
        </w:rPr>
      </w:pPr>
      <w:r w:rsidRPr="006B3CDD">
        <w:rPr>
          <w:b/>
          <w:bCs/>
          <w:lang w:val="uk-UA"/>
        </w:rPr>
        <w:t>6.</w:t>
      </w:r>
      <w:r w:rsidR="00985251" w:rsidRPr="006B3CDD">
        <w:rPr>
          <w:b/>
          <w:bCs/>
          <w:lang w:val="uk-UA"/>
        </w:rPr>
        <w:t>6</w:t>
      </w:r>
      <w:r w:rsidRPr="006B3CDD">
        <w:rPr>
          <w:b/>
          <w:bCs/>
          <w:lang w:val="uk-UA"/>
        </w:rPr>
        <w:t xml:space="preserve">. Особливі </w:t>
      </w:r>
      <w:r w:rsidRPr="006B3CDD">
        <w:rPr>
          <w:b/>
          <w:lang w:val="uk-UA"/>
        </w:rPr>
        <w:t xml:space="preserve">заходи безпеки </w:t>
      </w:r>
      <w:r w:rsidRPr="006B3CDD">
        <w:rPr>
          <w:b/>
          <w:bCs/>
          <w:lang w:val="uk-UA"/>
        </w:rPr>
        <w:t>при поводженні з невикористаним засобом</w:t>
      </w:r>
    </w:p>
    <w:p w14:paraId="79827B31" w14:textId="682749EF" w:rsidR="0046784F" w:rsidRPr="006B3CDD" w:rsidRDefault="0046784F" w:rsidP="0038337F">
      <w:pPr>
        <w:jc w:val="both"/>
        <w:rPr>
          <w:lang w:val="uk-UA"/>
        </w:rPr>
      </w:pPr>
      <w:r w:rsidRPr="006B3CDD">
        <w:rPr>
          <w:lang w:val="uk-UA"/>
        </w:rPr>
        <w:t>Невикористану вакцину та вакцину з закінченим терміном придатності слід утилізувати відповідно до вимог чинного законодавства.</w:t>
      </w:r>
    </w:p>
    <w:p w14:paraId="28F89741" w14:textId="2E723631" w:rsidR="00205CD2" w:rsidRPr="006B3CDD" w:rsidRDefault="00985251" w:rsidP="00205CD2">
      <w:pPr>
        <w:rPr>
          <w:lang w:val="uk-UA"/>
        </w:rPr>
      </w:pPr>
      <w:r w:rsidRPr="006B3CDD">
        <w:rPr>
          <w:b/>
          <w:bCs/>
          <w:lang w:val="uk-UA"/>
        </w:rPr>
        <w:t>6.7</w:t>
      </w:r>
      <w:r w:rsidR="00205CD2" w:rsidRPr="006B3CDD">
        <w:rPr>
          <w:b/>
          <w:bCs/>
          <w:lang w:val="uk-UA"/>
        </w:rPr>
        <w:t xml:space="preserve">. </w:t>
      </w:r>
      <w:r w:rsidR="00205CD2" w:rsidRPr="006B3CDD">
        <w:rPr>
          <w:b/>
          <w:szCs w:val="24"/>
          <w:lang w:val="uk-UA"/>
        </w:rPr>
        <w:t xml:space="preserve">Правила відпуску </w:t>
      </w:r>
    </w:p>
    <w:p w14:paraId="63CF6663" w14:textId="20D1FC8D" w:rsidR="00205CD2" w:rsidRPr="006B3CDD" w:rsidRDefault="00C83085" w:rsidP="00205CD2">
      <w:pPr>
        <w:rPr>
          <w:lang w:val="uk-UA"/>
        </w:rPr>
      </w:pPr>
      <w:r w:rsidRPr="006B3CDD">
        <w:rPr>
          <w:bCs/>
          <w:color w:val="000000"/>
          <w:szCs w:val="24"/>
          <w:lang w:val="uk-UA"/>
        </w:rPr>
        <w:t>Без рецепту.</w:t>
      </w:r>
      <w:r w:rsidR="00205CD2" w:rsidRPr="006B3CDD">
        <w:rPr>
          <w:lang w:val="uk-UA"/>
        </w:rPr>
        <w:t xml:space="preserve"> Застосовувати препарат може лише лікар (фельдшер) ветеринарної медицини. </w:t>
      </w:r>
    </w:p>
    <w:p w14:paraId="2697D2A3" w14:textId="77777777" w:rsidR="00E02436" w:rsidRPr="006B3CDD" w:rsidRDefault="00E02436" w:rsidP="00E02436">
      <w:pPr>
        <w:jc w:val="both"/>
        <w:rPr>
          <w:b/>
          <w:szCs w:val="24"/>
          <w:lang w:val="uk-UA"/>
        </w:rPr>
      </w:pPr>
      <w:r w:rsidRPr="006B3CDD">
        <w:rPr>
          <w:b/>
          <w:szCs w:val="24"/>
          <w:lang w:val="uk-UA"/>
        </w:rPr>
        <w:t>7. Додаткова інформація</w:t>
      </w:r>
    </w:p>
    <w:p w14:paraId="2978758F" w14:textId="77777777" w:rsidR="00E02436" w:rsidRPr="006B3CDD" w:rsidRDefault="00E02436" w:rsidP="00E02436">
      <w:pPr>
        <w:jc w:val="both"/>
        <w:rPr>
          <w:bCs/>
          <w:szCs w:val="24"/>
          <w:lang w:val="uk-UA"/>
        </w:rPr>
      </w:pPr>
      <w:r w:rsidRPr="006B3CDD">
        <w:rPr>
          <w:szCs w:val="24"/>
          <w:lang w:val="uk-UA"/>
        </w:rPr>
        <w:t>Якщо препарат не відповідає вимогам листівки-вкладки або виникли ускладнення, застосування цієї серії негайно припиняють і повідомляють Державний науково-контрольний інститут біотехнології і штамів мікроорганізмів (ДНКІБШМ) та постачальника (виробника). Одночасно з посланцем у ДНКІБШМ направляють, відповідно до “Вказівки про порядок пред’явлення рекламацій на біологічні препарати, що призначені для застосування у ветеринарній медицині” від 03.06.98 № 2</w:t>
      </w:r>
      <w:r w:rsidR="003A1917" w:rsidRPr="006B3CDD">
        <w:rPr>
          <w:szCs w:val="24"/>
          <w:lang w:val="uk-UA"/>
        </w:rPr>
        <w:t>,</w:t>
      </w:r>
      <w:r w:rsidRPr="006B3CDD">
        <w:rPr>
          <w:szCs w:val="24"/>
          <w:lang w:val="uk-UA"/>
        </w:rPr>
        <w:t xml:space="preserve"> три нерозкриті флакони цієї серії препарату за адресою: </w:t>
      </w:r>
      <w:smartTag w:uri="urn:schemas-microsoft-com:office:smarttags" w:element="metricconverter">
        <w:smartTagPr>
          <w:attr w:name="ProductID" w:val="03151, м"/>
        </w:smartTagPr>
        <w:r w:rsidRPr="006B3CDD">
          <w:rPr>
            <w:szCs w:val="24"/>
            <w:lang w:val="uk-UA"/>
          </w:rPr>
          <w:t>03151, м</w:t>
        </w:r>
      </w:smartTag>
      <w:r w:rsidRPr="006B3CDD">
        <w:rPr>
          <w:szCs w:val="24"/>
          <w:lang w:val="uk-UA"/>
        </w:rPr>
        <w:t>. Київ, вул. Донецька, 30, ДНКІБШМ.</w:t>
      </w:r>
    </w:p>
    <w:sectPr w:rsidR="00E02436" w:rsidRPr="006B3CDD" w:rsidSect="00245EE7">
      <w:pgSz w:w="11906" w:h="16838" w:code="9"/>
      <w:pgMar w:top="1134" w:right="851" w:bottom="1134" w:left="1134" w:header="720" w:footer="720" w:gutter="28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F1597" w14:textId="77777777" w:rsidR="005D1967" w:rsidRDefault="005D1967" w:rsidP="000E5122">
      <w:r>
        <w:separator/>
      </w:r>
    </w:p>
  </w:endnote>
  <w:endnote w:type="continuationSeparator" w:id="0">
    <w:p w14:paraId="5EEBF116" w14:textId="77777777" w:rsidR="005D1967" w:rsidRDefault="005D1967" w:rsidP="000E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93861" w14:textId="77777777" w:rsidR="005D1967" w:rsidRDefault="005D1967" w:rsidP="000E5122">
      <w:r>
        <w:separator/>
      </w:r>
    </w:p>
  </w:footnote>
  <w:footnote w:type="continuationSeparator" w:id="0">
    <w:p w14:paraId="1F08F2B1" w14:textId="77777777" w:rsidR="005D1967" w:rsidRDefault="005D1967" w:rsidP="000E5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0CB4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7B8286E0"/>
    <w:lvl w:ilvl="0">
      <w:start w:val="1"/>
      <w:numFmt w:val="decimal"/>
      <w:lvlText w:val="%1."/>
      <w:legacy w:legacy="1" w:legacySpace="0" w:legacyIndent="0"/>
      <w:lvlJc w:val="left"/>
      <w:pPr>
        <w:ind w:left="426" w:firstLine="0"/>
      </w:pPr>
    </w:lvl>
    <w:lvl w:ilvl="1">
      <w:start w:val="1"/>
      <w:numFmt w:val="decimal"/>
      <w:lvlText w:val="%1.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pStyle w:val="Heading3"/>
      <w:lvlText w:val="%1.%2.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1416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2124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2832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3540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4248" w:hanging="708"/>
      </w:pPr>
    </w:lvl>
  </w:abstractNum>
  <w:num w:numId="1" w16cid:durableId="1204368184">
    <w:abstractNumId w:val="1"/>
  </w:num>
  <w:num w:numId="2" w16cid:durableId="77837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65"/>
    <w:rsid w:val="00022765"/>
    <w:rsid w:val="000354C8"/>
    <w:rsid w:val="00036757"/>
    <w:rsid w:val="00042718"/>
    <w:rsid w:val="00057916"/>
    <w:rsid w:val="00071A40"/>
    <w:rsid w:val="00077114"/>
    <w:rsid w:val="0007781A"/>
    <w:rsid w:val="000874C0"/>
    <w:rsid w:val="000904B3"/>
    <w:rsid w:val="00090A1D"/>
    <w:rsid w:val="00096459"/>
    <w:rsid w:val="000A2E55"/>
    <w:rsid w:val="000B5400"/>
    <w:rsid w:val="000D34C4"/>
    <w:rsid w:val="000D602E"/>
    <w:rsid w:val="000D63AA"/>
    <w:rsid w:val="000E2A87"/>
    <w:rsid w:val="000E5122"/>
    <w:rsid w:val="000F1231"/>
    <w:rsid w:val="000F406D"/>
    <w:rsid w:val="001070F0"/>
    <w:rsid w:val="00114950"/>
    <w:rsid w:val="00116ACC"/>
    <w:rsid w:val="0012093A"/>
    <w:rsid w:val="00122550"/>
    <w:rsid w:val="00123AD9"/>
    <w:rsid w:val="001255C8"/>
    <w:rsid w:val="00140AA6"/>
    <w:rsid w:val="001467DB"/>
    <w:rsid w:val="00147A02"/>
    <w:rsid w:val="00150EF4"/>
    <w:rsid w:val="001515B0"/>
    <w:rsid w:val="00183999"/>
    <w:rsid w:val="0019600C"/>
    <w:rsid w:val="001D666B"/>
    <w:rsid w:val="001E4654"/>
    <w:rsid w:val="001F2D15"/>
    <w:rsid w:val="00200B00"/>
    <w:rsid w:val="00204C0C"/>
    <w:rsid w:val="00205CD2"/>
    <w:rsid w:val="0021452D"/>
    <w:rsid w:val="002264D0"/>
    <w:rsid w:val="0023574D"/>
    <w:rsid w:val="00237B9A"/>
    <w:rsid w:val="00245EE7"/>
    <w:rsid w:val="002637C7"/>
    <w:rsid w:val="00266FBB"/>
    <w:rsid w:val="002944FF"/>
    <w:rsid w:val="002A6C05"/>
    <w:rsid w:val="002C6D95"/>
    <w:rsid w:val="002D553D"/>
    <w:rsid w:val="002D76FD"/>
    <w:rsid w:val="002E08FE"/>
    <w:rsid w:val="002E18DD"/>
    <w:rsid w:val="002E4182"/>
    <w:rsid w:val="002E5865"/>
    <w:rsid w:val="00302FBC"/>
    <w:rsid w:val="00304342"/>
    <w:rsid w:val="00307929"/>
    <w:rsid w:val="0032307E"/>
    <w:rsid w:val="00325213"/>
    <w:rsid w:val="00330174"/>
    <w:rsid w:val="0034789A"/>
    <w:rsid w:val="00353442"/>
    <w:rsid w:val="00353AD2"/>
    <w:rsid w:val="0036655A"/>
    <w:rsid w:val="00370E10"/>
    <w:rsid w:val="00376633"/>
    <w:rsid w:val="003807DB"/>
    <w:rsid w:val="0038337F"/>
    <w:rsid w:val="00392EED"/>
    <w:rsid w:val="003A1917"/>
    <w:rsid w:val="003A6405"/>
    <w:rsid w:val="003A6799"/>
    <w:rsid w:val="003D3F49"/>
    <w:rsid w:val="003E2D36"/>
    <w:rsid w:val="00417DA4"/>
    <w:rsid w:val="004214DF"/>
    <w:rsid w:val="004416D3"/>
    <w:rsid w:val="00443DA2"/>
    <w:rsid w:val="00457508"/>
    <w:rsid w:val="00464AB4"/>
    <w:rsid w:val="00464F5C"/>
    <w:rsid w:val="0046784F"/>
    <w:rsid w:val="00474292"/>
    <w:rsid w:val="004B7062"/>
    <w:rsid w:val="004D35C4"/>
    <w:rsid w:val="004D5B95"/>
    <w:rsid w:val="004F0470"/>
    <w:rsid w:val="0050537D"/>
    <w:rsid w:val="00510E20"/>
    <w:rsid w:val="00517E71"/>
    <w:rsid w:val="00521F7F"/>
    <w:rsid w:val="005233EE"/>
    <w:rsid w:val="0055581F"/>
    <w:rsid w:val="005645A5"/>
    <w:rsid w:val="005649C8"/>
    <w:rsid w:val="00570824"/>
    <w:rsid w:val="00584F9F"/>
    <w:rsid w:val="00587EFB"/>
    <w:rsid w:val="00592BF2"/>
    <w:rsid w:val="005932E1"/>
    <w:rsid w:val="005A0190"/>
    <w:rsid w:val="005A3A4D"/>
    <w:rsid w:val="005A5F11"/>
    <w:rsid w:val="005B513C"/>
    <w:rsid w:val="005B666A"/>
    <w:rsid w:val="005D1967"/>
    <w:rsid w:val="005D2165"/>
    <w:rsid w:val="005D2280"/>
    <w:rsid w:val="005D4D68"/>
    <w:rsid w:val="005D7F6E"/>
    <w:rsid w:val="005E1F3E"/>
    <w:rsid w:val="005E5E98"/>
    <w:rsid w:val="005E5F81"/>
    <w:rsid w:val="005F20EC"/>
    <w:rsid w:val="005F2456"/>
    <w:rsid w:val="0060217F"/>
    <w:rsid w:val="00610271"/>
    <w:rsid w:val="00612FC2"/>
    <w:rsid w:val="00622AF7"/>
    <w:rsid w:val="0064783A"/>
    <w:rsid w:val="00652089"/>
    <w:rsid w:val="00661079"/>
    <w:rsid w:val="00670AF1"/>
    <w:rsid w:val="00674287"/>
    <w:rsid w:val="00681AB3"/>
    <w:rsid w:val="006834EE"/>
    <w:rsid w:val="00683A17"/>
    <w:rsid w:val="0069545C"/>
    <w:rsid w:val="006B3CDD"/>
    <w:rsid w:val="006B7D2D"/>
    <w:rsid w:val="006C4F64"/>
    <w:rsid w:val="006C7DAB"/>
    <w:rsid w:val="006D13A9"/>
    <w:rsid w:val="006E5A7F"/>
    <w:rsid w:val="006E7EDB"/>
    <w:rsid w:val="006F2889"/>
    <w:rsid w:val="00705C49"/>
    <w:rsid w:val="0070618D"/>
    <w:rsid w:val="00707DF5"/>
    <w:rsid w:val="00712B30"/>
    <w:rsid w:val="00720D83"/>
    <w:rsid w:val="007313A6"/>
    <w:rsid w:val="00733EC4"/>
    <w:rsid w:val="007374DE"/>
    <w:rsid w:val="00737742"/>
    <w:rsid w:val="00740C29"/>
    <w:rsid w:val="00740D69"/>
    <w:rsid w:val="007427EE"/>
    <w:rsid w:val="00756B41"/>
    <w:rsid w:val="00762B49"/>
    <w:rsid w:val="007A6F98"/>
    <w:rsid w:val="007B3AC6"/>
    <w:rsid w:val="007B5740"/>
    <w:rsid w:val="007B58A3"/>
    <w:rsid w:val="007C6500"/>
    <w:rsid w:val="007E1A5F"/>
    <w:rsid w:val="007E2486"/>
    <w:rsid w:val="0080093D"/>
    <w:rsid w:val="00804056"/>
    <w:rsid w:val="008156B3"/>
    <w:rsid w:val="00820996"/>
    <w:rsid w:val="00822506"/>
    <w:rsid w:val="0082546E"/>
    <w:rsid w:val="00832AB5"/>
    <w:rsid w:val="0083780D"/>
    <w:rsid w:val="008425FE"/>
    <w:rsid w:val="00844895"/>
    <w:rsid w:val="00873C72"/>
    <w:rsid w:val="00882D2F"/>
    <w:rsid w:val="008B0B1B"/>
    <w:rsid w:val="008B1B03"/>
    <w:rsid w:val="008D018F"/>
    <w:rsid w:val="008D4A43"/>
    <w:rsid w:val="008D7537"/>
    <w:rsid w:val="008E1FF0"/>
    <w:rsid w:val="008E2807"/>
    <w:rsid w:val="008E2CEC"/>
    <w:rsid w:val="008E4C10"/>
    <w:rsid w:val="008E4F4E"/>
    <w:rsid w:val="008E65AA"/>
    <w:rsid w:val="008F1D0E"/>
    <w:rsid w:val="008F632A"/>
    <w:rsid w:val="00905AB4"/>
    <w:rsid w:val="009218AF"/>
    <w:rsid w:val="009263FC"/>
    <w:rsid w:val="009329EA"/>
    <w:rsid w:val="00936B63"/>
    <w:rsid w:val="0095002C"/>
    <w:rsid w:val="00974E05"/>
    <w:rsid w:val="00974EC0"/>
    <w:rsid w:val="00975481"/>
    <w:rsid w:val="00975524"/>
    <w:rsid w:val="009807ED"/>
    <w:rsid w:val="00981902"/>
    <w:rsid w:val="00985251"/>
    <w:rsid w:val="00991151"/>
    <w:rsid w:val="009936A4"/>
    <w:rsid w:val="009A6B9A"/>
    <w:rsid w:val="009B1FE6"/>
    <w:rsid w:val="009C0AE6"/>
    <w:rsid w:val="009D1A52"/>
    <w:rsid w:val="009D7039"/>
    <w:rsid w:val="009E54AF"/>
    <w:rsid w:val="009F4D21"/>
    <w:rsid w:val="009F544A"/>
    <w:rsid w:val="009F6D6F"/>
    <w:rsid w:val="00A00EBE"/>
    <w:rsid w:val="00A01CF4"/>
    <w:rsid w:val="00A05B94"/>
    <w:rsid w:val="00A10011"/>
    <w:rsid w:val="00A133DC"/>
    <w:rsid w:val="00A15196"/>
    <w:rsid w:val="00A3297B"/>
    <w:rsid w:val="00A42117"/>
    <w:rsid w:val="00A448C6"/>
    <w:rsid w:val="00A528E4"/>
    <w:rsid w:val="00A606EF"/>
    <w:rsid w:val="00A60A70"/>
    <w:rsid w:val="00A64142"/>
    <w:rsid w:val="00A65C9A"/>
    <w:rsid w:val="00A97DEC"/>
    <w:rsid w:val="00AA164E"/>
    <w:rsid w:val="00AB0FE8"/>
    <w:rsid w:val="00AB2F91"/>
    <w:rsid w:val="00AB56B9"/>
    <w:rsid w:val="00AB7F71"/>
    <w:rsid w:val="00AC1D9F"/>
    <w:rsid w:val="00AC38DB"/>
    <w:rsid w:val="00AE2885"/>
    <w:rsid w:val="00B07850"/>
    <w:rsid w:val="00B155DF"/>
    <w:rsid w:val="00B212E3"/>
    <w:rsid w:val="00B27E29"/>
    <w:rsid w:val="00B326A5"/>
    <w:rsid w:val="00B44D5B"/>
    <w:rsid w:val="00B50C57"/>
    <w:rsid w:val="00B5527F"/>
    <w:rsid w:val="00B735FA"/>
    <w:rsid w:val="00B827B2"/>
    <w:rsid w:val="00B92384"/>
    <w:rsid w:val="00BC050F"/>
    <w:rsid w:val="00BE1884"/>
    <w:rsid w:val="00BF657F"/>
    <w:rsid w:val="00C02050"/>
    <w:rsid w:val="00C07CAD"/>
    <w:rsid w:val="00C10715"/>
    <w:rsid w:val="00C108A3"/>
    <w:rsid w:val="00C10E47"/>
    <w:rsid w:val="00C35E1A"/>
    <w:rsid w:val="00C36660"/>
    <w:rsid w:val="00C534BA"/>
    <w:rsid w:val="00C60136"/>
    <w:rsid w:val="00C6584D"/>
    <w:rsid w:val="00C6609C"/>
    <w:rsid w:val="00C67101"/>
    <w:rsid w:val="00C74F01"/>
    <w:rsid w:val="00C83085"/>
    <w:rsid w:val="00C84D32"/>
    <w:rsid w:val="00CB3617"/>
    <w:rsid w:val="00CC0740"/>
    <w:rsid w:val="00CC67DF"/>
    <w:rsid w:val="00CE219C"/>
    <w:rsid w:val="00D11A9A"/>
    <w:rsid w:val="00D139D8"/>
    <w:rsid w:val="00D1692F"/>
    <w:rsid w:val="00D43D59"/>
    <w:rsid w:val="00D46633"/>
    <w:rsid w:val="00D53F3D"/>
    <w:rsid w:val="00D637BD"/>
    <w:rsid w:val="00D7169D"/>
    <w:rsid w:val="00D757F8"/>
    <w:rsid w:val="00D77020"/>
    <w:rsid w:val="00D92CDD"/>
    <w:rsid w:val="00D931F2"/>
    <w:rsid w:val="00D9748D"/>
    <w:rsid w:val="00DA5E1E"/>
    <w:rsid w:val="00DB7D3E"/>
    <w:rsid w:val="00DC4807"/>
    <w:rsid w:val="00DC4AC1"/>
    <w:rsid w:val="00DC69F6"/>
    <w:rsid w:val="00DD1055"/>
    <w:rsid w:val="00DD403D"/>
    <w:rsid w:val="00DD74A8"/>
    <w:rsid w:val="00E02436"/>
    <w:rsid w:val="00E33928"/>
    <w:rsid w:val="00E37060"/>
    <w:rsid w:val="00E57FE5"/>
    <w:rsid w:val="00E64A3A"/>
    <w:rsid w:val="00E66CE3"/>
    <w:rsid w:val="00E72B2A"/>
    <w:rsid w:val="00E847D4"/>
    <w:rsid w:val="00E84992"/>
    <w:rsid w:val="00EB0BCA"/>
    <w:rsid w:val="00ED0DBC"/>
    <w:rsid w:val="00ED5724"/>
    <w:rsid w:val="00EF28CA"/>
    <w:rsid w:val="00F048D3"/>
    <w:rsid w:val="00F05E3F"/>
    <w:rsid w:val="00F126F0"/>
    <w:rsid w:val="00F1746F"/>
    <w:rsid w:val="00F22DB4"/>
    <w:rsid w:val="00F433AB"/>
    <w:rsid w:val="00F457A6"/>
    <w:rsid w:val="00F65EBF"/>
    <w:rsid w:val="00F66D72"/>
    <w:rsid w:val="00F815BC"/>
    <w:rsid w:val="00F87DAB"/>
    <w:rsid w:val="00FC157E"/>
    <w:rsid w:val="00FC6DCD"/>
    <w:rsid w:val="00FD417E"/>
    <w:rsid w:val="00FF1340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19E3D7"/>
  <w15:docId w15:val="{0EF1405C-F0A1-4812-BC6C-1378B5CC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33EE"/>
    <w:rPr>
      <w:sz w:val="24"/>
      <w:lang w:val="en-GB" w:eastAsia="es-ES"/>
    </w:rPr>
  </w:style>
  <w:style w:type="paragraph" w:styleId="Heading1">
    <w:name w:val="heading 1"/>
    <w:basedOn w:val="Normal"/>
    <w:next w:val="Normal"/>
    <w:qFormat/>
    <w:rsid w:val="005233EE"/>
    <w:pPr>
      <w:keepNext/>
      <w:ind w:left="210"/>
      <w:outlineLvl w:val="0"/>
    </w:pPr>
    <w:rPr>
      <w:b/>
      <w:bCs/>
      <w:color w:val="FFFFFF"/>
      <w:sz w:val="28"/>
      <w:lang w:val="fr-FR"/>
    </w:rPr>
  </w:style>
  <w:style w:type="paragraph" w:styleId="Heading2">
    <w:name w:val="heading 2"/>
    <w:basedOn w:val="Normal"/>
    <w:next w:val="Normal"/>
    <w:qFormat/>
    <w:rsid w:val="005233EE"/>
    <w:pPr>
      <w:keepNext/>
      <w:jc w:val="center"/>
      <w:outlineLvl w:val="1"/>
    </w:pPr>
    <w:rPr>
      <w:b/>
      <w:sz w:val="36"/>
      <w:u w:val="single"/>
    </w:rPr>
  </w:style>
  <w:style w:type="paragraph" w:styleId="Heading3">
    <w:name w:val="heading 3"/>
    <w:basedOn w:val="Normal"/>
    <w:next w:val="Normal"/>
    <w:qFormat/>
    <w:rsid w:val="005233EE"/>
    <w:pPr>
      <w:keepNext/>
      <w:numPr>
        <w:ilvl w:val="2"/>
        <w:numId w:val="1"/>
      </w:numPr>
      <w:tabs>
        <w:tab w:val="num" w:pos="0"/>
      </w:tabs>
      <w:spacing w:before="240" w:after="60"/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5233EE"/>
    <w:pPr>
      <w:keepNext/>
      <w:numPr>
        <w:ilvl w:val="3"/>
        <w:numId w:val="1"/>
      </w:numPr>
      <w:tabs>
        <w:tab w:val="num" w:pos="0"/>
      </w:tabs>
      <w:spacing w:before="240" w:after="6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5233EE"/>
    <w:pPr>
      <w:numPr>
        <w:ilvl w:val="4"/>
        <w:numId w:val="1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5233EE"/>
    <w:pPr>
      <w:numPr>
        <w:ilvl w:val="5"/>
        <w:numId w:val="1"/>
      </w:numPr>
      <w:tabs>
        <w:tab w:val="num" w:pos="0"/>
      </w:tabs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5233EE"/>
    <w:pPr>
      <w:numPr>
        <w:ilvl w:val="6"/>
        <w:numId w:val="1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5233EE"/>
    <w:pPr>
      <w:numPr>
        <w:ilvl w:val="7"/>
        <w:numId w:val="1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5233EE"/>
    <w:pPr>
      <w:numPr>
        <w:ilvl w:val="8"/>
        <w:numId w:val="1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233EE"/>
    <w:rPr>
      <w:sz w:val="16"/>
    </w:rPr>
  </w:style>
  <w:style w:type="paragraph" w:customStyle="1" w:styleId="Ttol3">
    <w:name w:val="Títol 3"/>
    <w:basedOn w:val="Normal"/>
    <w:rsid w:val="005233EE"/>
    <w:pPr>
      <w:overflowPunct w:val="0"/>
      <w:autoSpaceDE w:val="0"/>
      <w:autoSpaceDN w:val="0"/>
      <w:adjustRightInd w:val="0"/>
      <w:jc w:val="both"/>
      <w:textAlignment w:val="baseline"/>
    </w:pPr>
    <w:rPr>
      <w:b/>
      <w:lang w:val="es-ES"/>
    </w:rPr>
  </w:style>
  <w:style w:type="paragraph" w:styleId="TOC3">
    <w:name w:val="toc 3"/>
    <w:basedOn w:val="Normal"/>
    <w:next w:val="Normal"/>
    <w:autoRedefine/>
    <w:semiHidden/>
    <w:rsid w:val="005233EE"/>
    <w:pPr>
      <w:ind w:left="480"/>
    </w:pPr>
    <w:rPr>
      <w:u w:val="single"/>
      <w:lang w:val="es-ES_tradnl"/>
    </w:rPr>
  </w:style>
  <w:style w:type="paragraph" w:customStyle="1" w:styleId="Costext1">
    <w:name w:val="Cos text1"/>
    <w:basedOn w:val="Normal"/>
    <w:rsid w:val="005233EE"/>
    <w:pPr>
      <w:ind w:firstLine="709"/>
      <w:jc w:val="both"/>
    </w:pPr>
    <w:rPr>
      <w:szCs w:val="24"/>
      <w:lang w:val="es-ES"/>
    </w:rPr>
  </w:style>
  <w:style w:type="paragraph" w:styleId="BodyTextIndent3">
    <w:name w:val="Body Text Indent 3"/>
    <w:basedOn w:val="Normal"/>
    <w:rsid w:val="005233EE"/>
    <w:pPr>
      <w:shd w:val="clear" w:color="auto" w:fill="CCFFCC"/>
      <w:ind w:firstLine="567"/>
      <w:jc w:val="both"/>
    </w:pPr>
  </w:style>
  <w:style w:type="paragraph" w:styleId="BodyText2">
    <w:name w:val="Body Text 2"/>
    <w:basedOn w:val="Normal"/>
    <w:rsid w:val="005233EE"/>
    <w:pPr>
      <w:jc w:val="center"/>
    </w:pPr>
    <w:rPr>
      <w:b/>
      <w:sz w:val="32"/>
      <w:u w:val="single"/>
    </w:rPr>
  </w:style>
  <w:style w:type="paragraph" w:styleId="BodyText">
    <w:name w:val="Body Text"/>
    <w:basedOn w:val="Normal"/>
    <w:rsid w:val="005233EE"/>
    <w:pPr>
      <w:shd w:val="clear" w:color="auto" w:fill="CCFFCC"/>
      <w:jc w:val="both"/>
    </w:pPr>
  </w:style>
  <w:style w:type="paragraph" w:styleId="Header">
    <w:name w:val="header"/>
    <w:basedOn w:val="Normal"/>
    <w:rsid w:val="005233EE"/>
    <w:pPr>
      <w:tabs>
        <w:tab w:val="center" w:pos="4252"/>
        <w:tab w:val="right" w:pos="8504"/>
      </w:tabs>
    </w:pPr>
    <w:rPr>
      <w:lang w:val="es-ES_tradnl"/>
    </w:rPr>
  </w:style>
  <w:style w:type="paragraph" w:styleId="BodyTextIndent">
    <w:name w:val="Body Text Indent"/>
    <w:basedOn w:val="Normal"/>
    <w:rsid w:val="005233EE"/>
    <w:pPr>
      <w:shd w:val="clear" w:color="auto" w:fill="CCFFCC"/>
      <w:ind w:firstLine="709"/>
      <w:jc w:val="both"/>
    </w:pPr>
    <w:rPr>
      <w:bCs/>
    </w:rPr>
  </w:style>
  <w:style w:type="paragraph" w:styleId="BlockText">
    <w:name w:val="Block Text"/>
    <w:basedOn w:val="Normal"/>
    <w:rsid w:val="005233EE"/>
    <w:pPr>
      <w:ind w:left="567" w:right="850"/>
      <w:jc w:val="both"/>
    </w:pPr>
    <w:rPr>
      <w:rFonts w:ascii="Arial" w:hAnsi="Arial"/>
      <w:sz w:val="16"/>
      <w:lang w:val="es-ES_tradnl"/>
    </w:rPr>
  </w:style>
  <w:style w:type="paragraph" w:styleId="CommentText">
    <w:name w:val="annotation text"/>
    <w:basedOn w:val="Normal"/>
    <w:link w:val="CommentTextChar"/>
    <w:semiHidden/>
    <w:rsid w:val="005233EE"/>
    <w:pPr>
      <w:jc w:val="both"/>
    </w:pPr>
    <w:rPr>
      <w:sz w:val="20"/>
    </w:rPr>
  </w:style>
  <w:style w:type="paragraph" w:customStyle="1" w:styleId="1">
    <w:name w:val="Текст выноски1"/>
    <w:basedOn w:val="Normal"/>
    <w:semiHidden/>
    <w:rsid w:val="005233EE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Normal"/>
    <w:rsid w:val="005233EE"/>
    <w:pPr>
      <w:overflowPunct w:val="0"/>
      <w:autoSpaceDE w:val="0"/>
      <w:autoSpaceDN w:val="0"/>
      <w:adjustRightInd w:val="0"/>
      <w:jc w:val="both"/>
      <w:textAlignment w:val="baseline"/>
    </w:pPr>
    <w:rPr>
      <w:noProof/>
      <w:lang w:val="es-ES"/>
    </w:rPr>
  </w:style>
  <w:style w:type="paragraph" w:customStyle="1" w:styleId="Ttol2b11">
    <w:name w:val="Títol 2b11"/>
    <w:basedOn w:val="Normal"/>
    <w:autoRedefine/>
    <w:rsid w:val="005233EE"/>
    <w:pPr>
      <w:jc w:val="both"/>
    </w:pPr>
    <w:rPr>
      <w:b/>
      <w:bCs/>
      <w:szCs w:val="24"/>
    </w:rPr>
  </w:style>
  <w:style w:type="paragraph" w:styleId="BalloonText">
    <w:name w:val="Balloon Text"/>
    <w:basedOn w:val="Normal"/>
    <w:semiHidden/>
    <w:rsid w:val="005D216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12E3"/>
    <w:pPr>
      <w:numPr>
        <w:numId w:val="2"/>
      </w:numPr>
      <w:suppressAutoHyphens/>
      <w:overflowPunct w:val="0"/>
      <w:autoSpaceDE w:val="0"/>
      <w:contextualSpacing/>
      <w:textAlignment w:val="baseline"/>
    </w:pPr>
    <w:rPr>
      <w:rFonts w:eastAsia="Times New Roman"/>
      <w:lang w:val="es-ES_tradnl" w:eastAsia="ar-SA"/>
    </w:rPr>
  </w:style>
  <w:style w:type="paragraph" w:customStyle="1" w:styleId="Textocomentario1">
    <w:name w:val="Texto comentario1"/>
    <w:basedOn w:val="Normal"/>
    <w:rsid w:val="000E5122"/>
    <w:pPr>
      <w:suppressAutoHyphens/>
      <w:overflowPunct w:val="0"/>
      <w:autoSpaceDE w:val="0"/>
      <w:textAlignment w:val="baseline"/>
    </w:pPr>
    <w:rPr>
      <w:rFonts w:eastAsia="Times New Roman"/>
      <w:sz w:val="20"/>
      <w:lang w:eastAsia="ar-SA"/>
    </w:rPr>
  </w:style>
  <w:style w:type="paragraph" w:styleId="Footer">
    <w:name w:val="footer"/>
    <w:basedOn w:val="Normal"/>
    <w:link w:val="FooterChar"/>
    <w:rsid w:val="000E512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E5122"/>
    <w:rPr>
      <w:sz w:val="24"/>
      <w:lang w:val="en-GB" w:eastAsia="es-ES"/>
    </w:rPr>
  </w:style>
  <w:style w:type="paragraph" w:styleId="HTMLPreformatted">
    <w:name w:val="HTML Preformatted"/>
    <w:basedOn w:val="Normal"/>
    <w:link w:val="HTMLPreformattedChar"/>
    <w:unhideWhenUsed/>
    <w:rsid w:val="00D92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D92CDD"/>
    <w:rPr>
      <w:rFonts w:ascii="Courier New" w:eastAsia="Times New Roman" w:hAnsi="Courier New" w:cs="Courier New"/>
    </w:rPr>
  </w:style>
  <w:style w:type="character" w:styleId="Hyperlink">
    <w:name w:val="Hyperlink"/>
    <w:rsid w:val="005A0190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C69F6"/>
    <w:pPr>
      <w:jc w:val="left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C69F6"/>
    <w:rPr>
      <w:lang w:val="en-GB" w:eastAsia="es-ES"/>
    </w:rPr>
  </w:style>
  <w:style w:type="character" w:customStyle="1" w:styleId="CommentSubjectChar">
    <w:name w:val="Comment Subject Char"/>
    <w:basedOn w:val="CommentTextChar"/>
    <w:link w:val="CommentSubject"/>
    <w:rsid w:val="00DC69F6"/>
    <w:rPr>
      <w:lang w:val="en-GB" w:eastAsia="es-ES"/>
    </w:rPr>
  </w:style>
  <w:style w:type="paragraph" w:styleId="Revision">
    <w:name w:val="Revision"/>
    <w:hidden/>
    <w:uiPriority w:val="99"/>
    <w:semiHidden/>
    <w:rsid w:val="008E65AA"/>
    <w:rPr>
      <w:sz w:val="24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ipra@hipra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638a5e-3f2e-48fe-826b-c4f97c59cf67" xsi:nil="true"/>
    <lcf76f155ced4ddcb4097134ff3c332f xmlns="0087ca74-91b7-4d21-8cc4-a97b098b3f6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A1A3F2C8E6D4419C43AF785C107FE5" ma:contentTypeVersion="13" ma:contentTypeDescription="Crear nuevo documento." ma:contentTypeScope="" ma:versionID="0063947b6b41a1ad81c9f3b7862cf569">
  <xsd:schema xmlns:xsd="http://www.w3.org/2001/XMLSchema" xmlns:xs="http://www.w3.org/2001/XMLSchema" xmlns:p="http://schemas.microsoft.com/office/2006/metadata/properties" xmlns:ns2="0087ca74-91b7-4d21-8cc4-a97b098b3f6e" xmlns:ns3="b9638a5e-3f2e-48fe-826b-c4f97c59cf67" targetNamespace="http://schemas.microsoft.com/office/2006/metadata/properties" ma:root="true" ma:fieldsID="fd670bffe51ddbae94ef11ccba65b233" ns2:_="" ns3:_="">
    <xsd:import namespace="0087ca74-91b7-4d21-8cc4-a97b098b3f6e"/>
    <xsd:import namespace="b9638a5e-3f2e-48fe-826b-c4f97c59c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7ca74-91b7-4d21-8cc4-a97b098b3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f96574e-882a-4ee0-8a21-ae3c1916ef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38a5e-3f2e-48fe-826b-c4f97c59cf6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45bd6b3-50b7-47d4-af27-c2acdffc84c5}" ma:internalName="TaxCatchAll" ma:showField="CatchAllData" ma:web="b9638a5e-3f2e-48fe-826b-c4f97c59c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B93B9-F65F-4375-8E49-F9084080F5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3B7700-67B7-4EA7-A0AA-1E717322387C}"/>
</file>

<file path=customXml/itemProps3.xml><?xml version="1.0" encoding="utf-8"?>
<ds:datastoreItem xmlns:ds="http://schemas.openxmlformats.org/officeDocument/2006/customXml" ds:itemID="{8CC3F36C-5E29-4710-8471-E1D9EF36BC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8A773C-7A81-4381-A033-AB097D288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5592</Characters>
  <Application>Microsoft Office Word</Application>
  <DocSecurity>0</DocSecurity>
  <Lines>46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PART I</vt:lpstr>
      <vt:lpstr>PART I</vt:lpstr>
      <vt:lpstr>PART I</vt:lpstr>
    </vt:vector>
  </TitlesOfParts>
  <Company>Laboratorios HIPRA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</dc:title>
  <dc:creator>Cristina Tallada Creo</dc:creator>
  <cp:lastModifiedBy>Cristina Tallada Creo</cp:lastModifiedBy>
  <cp:revision>2</cp:revision>
  <cp:lastPrinted>2005-06-10T08:28:00Z</cp:lastPrinted>
  <dcterms:created xsi:type="dcterms:W3CDTF">2024-10-03T08:33:00Z</dcterms:created>
  <dcterms:modified xsi:type="dcterms:W3CDTF">2024-10-03T08:33:00Z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0x01010003A1A3F2C8E6D4419C43AF785C107FE5</vt:lpwstr>
  </property>
</Properties>
</file>